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73" w:rsidRDefault="00195273">
      <w:pPr>
        <w:spacing w:line="360" w:lineRule="auto"/>
        <w:jc w:val="center"/>
        <w:rPr>
          <w:rFonts w:ascii="Times New Roman" w:cs="Times New Roman" w:hint="eastAsia"/>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4F4DE5">
      <w:pPr>
        <w:spacing w:line="360" w:lineRule="auto"/>
        <w:jc w:val="center"/>
        <w:rPr>
          <w:rFonts w:ascii="方正小标宋简体" w:eastAsia="方正小标宋简体" w:hAnsi="Times New Roman" w:cs="Times New Roman"/>
          <w:b/>
          <w:bCs/>
          <w:sz w:val="52"/>
          <w:szCs w:val="52"/>
        </w:rPr>
      </w:pPr>
      <w:r>
        <w:rPr>
          <w:rFonts w:ascii="方正小标宋简体" w:eastAsia="方正小标宋简体" w:hAnsi="Times New Roman" w:cs="方正小标宋简体" w:hint="eastAsia"/>
          <w:b/>
          <w:bCs/>
          <w:sz w:val="52"/>
          <w:szCs w:val="52"/>
        </w:rPr>
        <w:t>丽水市健康产业发展规划</w:t>
      </w:r>
    </w:p>
    <w:p w:rsidR="00195273" w:rsidRDefault="004F4DE5">
      <w:pPr>
        <w:spacing w:line="360" w:lineRule="auto"/>
        <w:jc w:val="center"/>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w:t>
      </w:r>
      <w:r>
        <w:rPr>
          <w:rFonts w:ascii="楷体_GB2312" w:eastAsia="楷体_GB2312" w:hAnsi="Times New Roman" w:cs="楷体_GB2312"/>
          <w:b/>
          <w:bCs/>
          <w:sz w:val="32"/>
          <w:szCs w:val="32"/>
        </w:rPr>
        <w:t>2015-2025</w:t>
      </w:r>
      <w:r>
        <w:rPr>
          <w:rFonts w:ascii="楷体_GB2312" w:eastAsia="楷体_GB2312" w:hAnsi="Times New Roman" w:cs="楷体_GB2312" w:hint="eastAsia"/>
          <w:b/>
          <w:bCs/>
          <w:sz w:val="32"/>
          <w:szCs w:val="32"/>
        </w:rPr>
        <w:t>）</w:t>
      </w: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195273">
      <w:pPr>
        <w:spacing w:line="360" w:lineRule="auto"/>
        <w:jc w:val="center"/>
        <w:rPr>
          <w:rFonts w:ascii="Times New Roman" w:cs="Times New Roman"/>
          <w:sz w:val="24"/>
          <w:szCs w:val="24"/>
        </w:rPr>
      </w:pPr>
    </w:p>
    <w:p w:rsidR="00195273" w:rsidRDefault="004F4DE5">
      <w:pPr>
        <w:spacing w:line="360" w:lineRule="auto"/>
        <w:jc w:val="center"/>
        <w:rPr>
          <w:rFonts w:ascii="仿宋_GB2312" w:eastAsia="仿宋_GB2312" w:hAnsi="Times New Roman" w:cs="Times New Roman"/>
          <w:b/>
          <w:bCs/>
          <w:sz w:val="32"/>
          <w:szCs w:val="32"/>
        </w:rPr>
      </w:pPr>
      <w:r>
        <w:rPr>
          <w:rFonts w:ascii="仿宋_GB2312" w:eastAsia="仿宋_GB2312" w:hAnsi="Times New Roman" w:cs="仿宋_GB2312" w:hint="eastAsia"/>
          <w:b/>
          <w:bCs/>
          <w:sz w:val="32"/>
          <w:szCs w:val="32"/>
        </w:rPr>
        <w:t>丽水市发展和改革委员会</w:t>
      </w:r>
    </w:p>
    <w:p w:rsidR="00195273" w:rsidRDefault="004F4DE5">
      <w:pPr>
        <w:spacing w:line="360" w:lineRule="auto"/>
        <w:jc w:val="center"/>
        <w:rPr>
          <w:rFonts w:ascii="仿宋_GB2312" w:eastAsia="仿宋_GB2312" w:hAnsi="Times New Roman" w:cs="Times New Roman"/>
          <w:b/>
          <w:bCs/>
          <w:sz w:val="32"/>
          <w:szCs w:val="32"/>
        </w:rPr>
      </w:pPr>
      <w:r>
        <w:rPr>
          <w:rFonts w:ascii="仿宋_GB2312" w:eastAsia="仿宋_GB2312" w:hAnsi="Times New Roman" w:cs="仿宋_GB2312" w:hint="eastAsia"/>
          <w:b/>
          <w:bCs/>
          <w:sz w:val="32"/>
          <w:szCs w:val="32"/>
        </w:rPr>
        <w:t>二О一五年十二月</w:t>
      </w:r>
    </w:p>
    <w:p w:rsidR="00195273" w:rsidRDefault="00195273">
      <w:pPr>
        <w:spacing w:line="360" w:lineRule="auto"/>
        <w:jc w:val="center"/>
        <w:rPr>
          <w:rFonts w:ascii="仿宋_GB2312" w:eastAsia="仿宋_GB2312" w:hAnsi="Times New Roman" w:cs="Times New Roman"/>
          <w:b/>
          <w:bCs/>
          <w:sz w:val="32"/>
          <w:szCs w:val="32"/>
        </w:rPr>
      </w:pPr>
    </w:p>
    <w:p w:rsidR="00195273" w:rsidRDefault="00195273">
      <w:pPr>
        <w:spacing w:line="360" w:lineRule="auto"/>
        <w:jc w:val="center"/>
        <w:rPr>
          <w:rFonts w:ascii="仿宋_GB2312" w:eastAsia="仿宋_GB2312" w:hAnsi="Times New Roman" w:cs="Times New Roman"/>
          <w:b/>
          <w:bCs/>
          <w:sz w:val="32"/>
          <w:szCs w:val="32"/>
        </w:rPr>
      </w:pPr>
    </w:p>
    <w:p w:rsidR="00195273" w:rsidRDefault="00195273">
      <w:pPr>
        <w:spacing w:line="360" w:lineRule="auto"/>
        <w:jc w:val="center"/>
        <w:rPr>
          <w:rFonts w:ascii="仿宋_GB2312" w:eastAsia="仿宋_GB2312" w:hAnsi="Times New Roman" w:cs="Times New Roman"/>
          <w:b/>
          <w:bCs/>
          <w:sz w:val="32"/>
          <w:szCs w:val="32"/>
        </w:rPr>
      </w:pPr>
    </w:p>
    <w:p w:rsidR="00195273" w:rsidRDefault="004F4DE5">
      <w:pPr>
        <w:spacing w:line="360" w:lineRule="auto"/>
        <w:jc w:val="center"/>
        <w:rPr>
          <w:rFonts w:ascii="仿宋_GB2312" w:eastAsia="仿宋_GB2312" w:hAnsi="Times New Roman" w:cs="Times New Roman"/>
          <w:b/>
          <w:bCs/>
          <w:sz w:val="32"/>
          <w:szCs w:val="32"/>
        </w:rPr>
      </w:pPr>
      <w:r>
        <w:rPr>
          <w:rFonts w:ascii="仿宋_GB2312" w:eastAsia="仿宋_GB2312" w:hAnsi="Times New Roman" w:cs="仿宋_GB2312" w:hint="eastAsia"/>
          <w:b/>
          <w:bCs/>
          <w:sz w:val="32"/>
          <w:szCs w:val="32"/>
        </w:rPr>
        <w:lastRenderedPageBreak/>
        <w:t>目录</w:t>
      </w:r>
    </w:p>
    <w:p w:rsidR="00195273" w:rsidRDefault="00195273">
      <w:pPr>
        <w:spacing w:line="360" w:lineRule="auto"/>
        <w:jc w:val="center"/>
        <w:rPr>
          <w:rFonts w:cs="Times New Roman"/>
        </w:rPr>
      </w:pPr>
    </w:p>
    <w:p w:rsidR="00195273" w:rsidRDefault="004F4DE5">
      <w:pPr>
        <w:pStyle w:val="10"/>
        <w:tabs>
          <w:tab w:val="clear" w:pos="8296"/>
          <w:tab w:val="right" w:leader="dot" w:pos="8306"/>
        </w:tabs>
        <w:rPr>
          <w:color w:val="auto"/>
          <w:szCs w:val="21"/>
        </w:rPr>
      </w:pPr>
      <w:r>
        <w:rPr>
          <w:rFonts w:ascii="仿宋_GB2312" w:eastAsia="仿宋_GB2312" w:cs="仿宋_GB2312"/>
          <w:color w:val="auto"/>
        </w:rPr>
        <w:fldChar w:fldCharType="begin"/>
      </w:r>
      <w:r>
        <w:rPr>
          <w:rFonts w:ascii="仿宋_GB2312" w:eastAsia="仿宋_GB2312" w:cs="仿宋_GB2312"/>
          <w:color w:val="auto"/>
        </w:rPr>
        <w:instrText xml:space="preserve"> TOC \o "1-2" \u </w:instrText>
      </w:r>
      <w:r>
        <w:rPr>
          <w:rFonts w:ascii="仿宋_GB2312" w:eastAsia="仿宋_GB2312" w:cs="仿宋_GB2312"/>
          <w:color w:val="auto"/>
        </w:rPr>
        <w:fldChar w:fldCharType="separate"/>
      </w:r>
      <w:r>
        <w:rPr>
          <w:rFonts w:cs="黑体" w:hint="eastAsia"/>
          <w:color w:val="auto"/>
          <w:szCs w:val="44"/>
        </w:rPr>
        <w:t>前言</w:t>
      </w:r>
      <w:r>
        <w:rPr>
          <w:color w:val="auto"/>
          <w:szCs w:val="21"/>
        </w:rPr>
        <w:tab/>
      </w:r>
      <w:r>
        <w:rPr>
          <w:color w:val="auto"/>
          <w:szCs w:val="21"/>
        </w:rPr>
        <w:fldChar w:fldCharType="begin"/>
      </w:r>
      <w:r>
        <w:rPr>
          <w:color w:val="auto"/>
          <w:szCs w:val="21"/>
        </w:rPr>
        <w:instrText xml:space="preserve"> PAGEREF _Toc18116 </w:instrText>
      </w:r>
      <w:r>
        <w:rPr>
          <w:color w:val="auto"/>
          <w:szCs w:val="21"/>
        </w:rPr>
        <w:fldChar w:fldCharType="separate"/>
      </w:r>
      <w:r>
        <w:rPr>
          <w:color w:val="auto"/>
          <w:szCs w:val="21"/>
        </w:rPr>
        <w:t>1</w:t>
      </w:r>
      <w:r>
        <w:rPr>
          <w:color w:val="auto"/>
          <w:szCs w:val="21"/>
        </w:rPr>
        <w:fldChar w:fldCharType="end"/>
      </w:r>
    </w:p>
    <w:p w:rsidR="00195273" w:rsidRDefault="004F4DE5">
      <w:pPr>
        <w:pStyle w:val="10"/>
        <w:tabs>
          <w:tab w:val="clear" w:pos="8296"/>
          <w:tab w:val="right" w:leader="dot" w:pos="8306"/>
        </w:tabs>
        <w:rPr>
          <w:color w:val="auto"/>
          <w:szCs w:val="21"/>
        </w:rPr>
      </w:pPr>
      <w:r>
        <w:rPr>
          <w:rFonts w:ascii="仿宋_GB2312" w:eastAsia="仿宋_GB2312" w:cs="仿宋_GB2312" w:hint="eastAsia"/>
          <w:color w:val="auto"/>
          <w:szCs w:val="32"/>
        </w:rPr>
        <w:t>一、发展基础</w:t>
      </w:r>
      <w:r>
        <w:rPr>
          <w:color w:val="auto"/>
          <w:szCs w:val="21"/>
        </w:rPr>
        <w:tab/>
      </w:r>
      <w:r>
        <w:rPr>
          <w:color w:val="auto"/>
          <w:szCs w:val="21"/>
        </w:rPr>
        <w:fldChar w:fldCharType="begin"/>
      </w:r>
      <w:r>
        <w:rPr>
          <w:color w:val="auto"/>
          <w:szCs w:val="21"/>
        </w:rPr>
        <w:instrText xml:space="preserve"> PAGEREF _Toc16967 </w:instrText>
      </w:r>
      <w:r>
        <w:rPr>
          <w:color w:val="auto"/>
          <w:szCs w:val="21"/>
        </w:rPr>
        <w:fldChar w:fldCharType="separate"/>
      </w:r>
      <w:r>
        <w:rPr>
          <w:color w:val="auto"/>
          <w:szCs w:val="21"/>
        </w:rPr>
        <w:t>2</w:t>
      </w:r>
      <w:r>
        <w:rPr>
          <w:color w:val="auto"/>
          <w:szCs w:val="21"/>
        </w:rPr>
        <w:fldChar w:fldCharType="end"/>
      </w:r>
    </w:p>
    <w:p w:rsidR="00195273" w:rsidRDefault="004F4DE5">
      <w:pPr>
        <w:pStyle w:val="20"/>
        <w:tabs>
          <w:tab w:val="right" w:leader="dot" w:pos="8306"/>
        </w:tabs>
        <w:spacing w:line="400" w:lineRule="exact"/>
      </w:pPr>
      <w:r>
        <w:rPr>
          <w:rFonts w:ascii="仿宋_GB2312" w:eastAsia="仿宋_GB2312" w:cs="仿宋_GB2312" w:hint="eastAsia"/>
        </w:rPr>
        <w:t>（一）健康制造业现状</w:t>
      </w:r>
      <w:r>
        <w:tab/>
      </w:r>
      <w:fldSimple w:instr=" PAGEREF _Toc8915 ">
        <w:r>
          <w:t>2</w:t>
        </w:r>
      </w:fldSimple>
    </w:p>
    <w:p w:rsidR="00195273" w:rsidRDefault="004F4DE5">
      <w:pPr>
        <w:pStyle w:val="20"/>
        <w:tabs>
          <w:tab w:val="right" w:leader="dot" w:pos="8306"/>
        </w:tabs>
        <w:spacing w:line="400" w:lineRule="exact"/>
      </w:pPr>
      <w:r>
        <w:rPr>
          <w:rFonts w:ascii="仿宋_GB2312" w:eastAsia="仿宋_GB2312" w:cs="仿宋_GB2312" w:hint="eastAsia"/>
        </w:rPr>
        <w:t>（二）健康服务业现状</w:t>
      </w:r>
      <w:r>
        <w:tab/>
      </w:r>
      <w:fldSimple w:instr=" PAGEREF _Toc14499 ">
        <w:r>
          <w:t>3</w:t>
        </w:r>
      </w:fldSimple>
    </w:p>
    <w:p w:rsidR="00195273" w:rsidRDefault="004F4DE5">
      <w:pPr>
        <w:pStyle w:val="20"/>
        <w:tabs>
          <w:tab w:val="right" w:leader="dot" w:pos="8306"/>
        </w:tabs>
        <w:spacing w:line="400" w:lineRule="exact"/>
      </w:pPr>
      <w:r>
        <w:rPr>
          <w:rFonts w:ascii="仿宋_GB2312" w:eastAsia="仿宋_GB2312" w:cs="仿宋_GB2312" w:hint="eastAsia"/>
        </w:rPr>
        <w:t>（三）面临的挑战</w:t>
      </w:r>
      <w:r>
        <w:tab/>
      </w:r>
      <w:fldSimple w:instr=" PAGEREF _Toc32458 ">
        <w:r>
          <w:t>4</w:t>
        </w:r>
      </w:fldSimple>
    </w:p>
    <w:p w:rsidR="00195273" w:rsidRDefault="004F4DE5">
      <w:pPr>
        <w:pStyle w:val="20"/>
        <w:tabs>
          <w:tab w:val="right" w:leader="dot" w:pos="8306"/>
        </w:tabs>
        <w:spacing w:line="400" w:lineRule="exact"/>
      </w:pPr>
      <w:r>
        <w:rPr>
          <w:rFonts w:ascii="仿宋_GB2312" w:eastAsia="仿宋_GB2312" w:cs="仿宋_GB2312" w:hint="eastAsia"/>
        </w:rPr>
        <w:t>（四）面临形势与机遇</w:t>
      </w:r>
      <w:r>
        <w:tab/>
      </w:r>
      <w:fldSimple w:instr=" PAGEREF _Toc19392 ">
        <w:r>
          <w:t>5</w:t>
        </w:r>
      </w:fldSimple>
    </w:p>
    <w:p w:rsidR="00195273" w:rsidRDefault="004F4DE5">
      <w:pPr>
        <w:pStyle w:val="10"/>
        <w:tabs>
          <w:tab w:val="clear" w:pos="8296"/>
          <w:tab w:val="right" w:leader="dot" w:pos="8306"/>
        </w:tabs>
        <w:rPr>
          <w:color w:val="auto"/>
          <w:szCs w:val="21"/>
        </w:rPr>
      </w:pPr>
      <w:r>
        <w:rPr>
          <w:rFonts w:ascii="仿宋_GB2312" w:eastAsia="仿宋_GB2312" w:cs="仿宋_GB2312" w:hint="eastAsia"/>
          <w:color w:val="auto"/>
          <w:szCs w:val="32"/>
        </w:rPr>
        <w:t>二、发展思路</w:t>
      </w:r>
      <w:r>
        <w:rPr>
          <w:color w:val="auto"/>
          <w:szCs w:val="21"/>
        </w:rPr>
        <w:tab/>
      </w:r>
      <w:r>
        <w:rPr>
          <w:color w:val="auto"/>
          <w:szCs w:val="21"/>
        </w:rPr>
        <w:fldChar w:fldCharType="begin"/>
      </w:r>
      <w:r>
        <w:rPr>
          <w:color w:val="auto"/>
          <w:szCs w:val="21"/>
        </w:rPr>
        <w:instrText xml:space="preserve"> PAGEREF _Toc9235 </w:instrText>
      </w:r>
      <w:r>
        <w:rPr>
          <w:color w:val="auto"/>
          <w:szCs w:val="21"/>
        </w:rPr>
        <w:fldChar w:fldCharType="separate"/>
      </w:r>
      <w:r>
        <w:rPr>
          <w:color w:val="auto"/>
          <w:szCs w:val="21"/>
        </w:rPr>
        <w:t>7</w:t>
      </w:r>
      <w:r>
        <w:rPr>
          <w:color w:val="auto"/>
          <w:szCs w:val="21"/>
        </w:rPr>
        <w:fldChar w:fldCharType="end"/>
      </w:r>
    </w:p>
    <w:p w:rsidR="00195273" w:rsidRDefault="004F4DE5">
      <w:pPr>
        <w:pStyle w:val="20"/>
        <w:tabs>
          <w:tab w:val="right" w:leader="dot" w:pos="8306"/>
        </w:tabs>
        <w:spacing w:line="400" w:lineRule="exact"/>
      </w:pPr>
      <w:r>
        <w:rPr>
          <w:rFonts w:ascii="仿宋_GB2312" w:eastAsia="仿宋_GB2312" w:cs="仿宋_GB2312" w:hint="eastAsia"/>
        </w:rPr>
        <w:t>（一）指导思想</w:t>
      </w:r>
      <w:r>
        <w:tab/>
      </w:r>
      <w:fldSimple w:instr=" PAGEREF _Toc17702 ">
        <w:r>
          <w:t>7</w:t>
        </w:r>
      </w:fldSimple>
    </w:p>
    <w:p w:rsidR="00195273" w:rsidRDefault="004F4DE5">
      <w:pPr>
        <w:pStyle w:val="20"/>
        <w:tabs>
          <w:tab w:val="right" w:leader="dot" w:pos="8306"/>
        </w:tabs>
        <w:spacing w:line="400" w:lineRule="exact"/>
      </w:pPr>
      <w:r>
        <w:rPr>
          <w:rFonts w:ascii="仿宋_GB2312" w:eastAsia="仿宋_GB2312" w:cs="仿宋_GB2312" w:hint="eastAsia"/>
        </w:rPr>
        <w:t>（二）基本原则</w:t>
      </w:r>
      <w:r>
        <w:tab/>
      </w:r>
      <w:fldSimple w:instr=" PAGEREF _Toc27831 ">
        <w:r>
          <w:t>8</w:t>
        </w:r>
      </w:fldSimple>
    </w:p>
    <w:p w:rsidR="00195273" w:rsidRDefault="004F4DE5">
      <w:pPr>
        <w:pStyle w:val="20"/>
        <w:tabs>
          <w:tab w:val="right" w:leader="dot" w:pos="8306"/>
        </w:tabs>
        <w:spacing w:line="400" w:lineRule="exact"/>
      </w:pPr>
      <w:r>
        <w:rPr>
          <w:rFonts w:ascii="仿宋_GB2312" w:eastAsia="仿宋_GB2312" w:cs="仿宋_GB2312" w:hint="eastAsia"/>
        </w:rPr>
        <w:t>（三）发展目标</w:t>
      </w:r>
      <w:r>
        <w:tab/>
      </w:r>
      <w:fldSimple w:instr=" PAGEREF _Toc31452 ">
        <w:r>
          <w:t>8</w:t>
        </w:r>
      </w:fldSimple>
    </w:p>
    <w:p w:rsidR="00195273" w:rsidRDefault="004F4DE5">
      <w:pPr>
        <w:pStyle w:val="10"/>
        <w:tabs>
          <w:tab w:val="clear" w:pos="8296"/>
          <w:tab w:val="right" w:leader="dot" w:pos="8306"/>
        </w:tabs>
        <w:rPr>
          <w:color w:val="auto"/>
          <w:szCs w:val="21"/>
        </w:rPr>
      </w:pPr>
      <w:r>
        <w:rPr>
          <w:rFonts w:ascii="仿宋_GB2312" w:eastAsia="仿宋_GB2312" w:cs="仿宋_GB2312" w:hint="eastAsia"/>
          <w:color w:val="auto"/>
          <w:szCs w:val="32"/>
        </w:rPr>
        <w:t>三、重点发展领域及主要任务</w:t>
      </w:r>
      <w:r>
        <w:rPr>
          <w:color w:val="auto"/>
          <w:szCs w:val="21"/>
        </w:rPr>
        <w:tab/>
      </w:r>
      <w:r>
        <w:rPr>
          <w:color w:val="auto"/>
          <w:szCs w:val="21"/>
        </w:rPr>
        <w:fldChar w:fldCharType="begin"/>
      </w:r>
      <w:r>
        <w:rPr>
          <w:color w:val="auto"/>
          <w:szCs w:val="21"/>
        </w:rPr>
        <w:instrText xml:space="preserve"> PAGEREF _Toc4688 </w:instrText>
      </w:r>
      <w:r>
        <w:rPr>
          <w:color w:val="auto"/>
          <w:szCs w:val="21"/>
        </w:rPr>
        <w:fldChar w:fldCharType="separate"/>
      </w:r>
      <w:r>
        <w:rPr>
          <w:color w:val="auto"/>
          <w:szCs w:val="21"/>
        </w:rPr>
        <w:t>9</w:t>
      </w:r>
      <w:r>
        <w:rPr>
          <w:color w:val="auto"/>
          <w:szCs w:val="21"/>
        </w:rPr>
        <w:fldChar w:fldCharType="end"/>
      </w:r>
    </w:p>
    <w:p w:rsidR="00195273" w:rsidRDefault="004F4DE5">
      <w:pPr>
        <w:pStyle w:val="20"/>
        <w:tabs>
          <w:tab w:val="right" w:leader="dot" w:pos="8306"/>
        </w:tabs>
        <w:spacing w:line="400" w:lineRule="exact"/>
      </w:pPr>
      <w:r>
        <w:rPr>
          <w:rFonts w:ascii="仿宋_GB2312" w:eastAsia="仿宋_GB2312" w:cs="仿宋_GB2312" w:hint="eastAsia"/>
        </w:rPr>
        <w:t>（一）多元化办医</w:t>
      </w:r>
      <w:r>
        <w:tab/>
      </w:r>
      <w:fldSimple w:instr=" PAGEREF _Toc21753 ">
        <w:r>
          <w:t>9</w:t>
        </w:r>
      </w:fldSimple>
    </w:p>
    <w:p w:rsidR="00195273" w:rsidRDefault="004F4DE5">
      <w:pPr>
        <w:pStyle w:val="20"/>
        <w:tabs>
          <w:tab w:val="right" w:leader="dot" w:pos="8306"/>
        </w:tabs>
        <w:spacing w:line="400" w:lineRule="exact"/>
      </w:pPr>
      <w:r>
        <w:rPr>
          <w:rFonts w:ascii="仿宋_GB2312" w:eastAsia="仿宋_GB2312" w:cs="仿宋_GB2312" w:hint="eastAsia"/>
        </w:rPr>
        <w:t>（二）健康管理</w:t>
      </w:r>
      <w:r>
        <w:tab/>
      </w:r>
      <w:fldSimple w:instr=" PAGEREF _Toc17888 ">
        <w:r>
          <w:t>10</w:t>
        </w:r>
      </w:fldSimple>
    </w:p>
    <w:p w:rsidR="00195273" w:rsidRDefault="004F4DE5">
      <w:pPr>
        <w:pStyle w:val="20"/>
        <w:tabs>
          <w:tab w:val="right" w:leader="dot" w:pos="8306"/>
        </w:tabs>
        <w:spacing w:line="400" w:lineRule="exact"/>
      </w:pPr>
      <w:r>
        <w:rPr>
          <w:rFonts w:ascii="仿宋_GB2312" w:eastAsia="仿宋_GB2312" w:cs="仿宋_GB2312" w:hint="eastAsia"/>
        </w:rPr>
        <w:t>（四）中医药医疗保健</w:t>
      </w:r>
      <w:r>
        <w:tab/>
      </w:r>
      <w:fldSimple w:instr=" PAGEREF _Toc3249 ">
        <w:r>
          <w:t>12</w:t>
        </w:r>
      </w:fldSimple>
    </w:p>
    <w:p w:rsidR="00195273" w:rsidRDefault="004F4DE5">
      <w:pPr>
        <w:pStyle w:val="20"/>
        <w:tabs>
          <w:tab w:val="right" w:leader="dot" w:pos="8306"/>
        </w:tabs>
        <w:spacing w:line="400" w:lineRule="exact"/>
      </w:pPr>
      <w:r>
        <w:rPr>
          <w:rFonts w:ascii="仿宋_GB2312" w:eastAsia="仿宋_GB2312" w:cs="仿宋_GB2312" w:hint="eastAsia"/>
        </w:rPr>
        <w:t>（六）健康旅游与文化</w:t>
      </w:r>
      <w:r>
        <w:tab/>
      </w:r>
      <w:fldSimple w:instr=" PAGEREF _Toc24348 ">
        <w:r>
          <w:t>15</w:t>
        </w:r>
      </w:fldSimple>
    </w:p>
    <w:p w:rsidR="00195273" w:rsidRDefault="004F4DE5">
      <w:pPr>
        <w:pStyle w:val="20"/>
        <w:tabs>
          <w:tab w:val="right" w:leader="dot" w:pos="8306"/>
        </w:tabs>
        <w:spacing w:line="400" w:lineRule="exact"/>
      </w:pPr>
      <w:r>
        <w:rPr>
          <w:rFonts w:ascii="仿宋_GB2312" w:eastAsia="仿宋_GB2312" w:cs="仿宋_GB2312" w:hint="eastAsia"/>
        </w:rPr>
        <w:t>（七）</w:t>
      </w:r>
      <w:r>
        <w:rPr>
          <w:rFonts w:ascii="楷体_GB2312" w:eastAsia="楷体_GB2312" w:hAnsi="Times New Roman" w:cs="楷体_GB2312" w:hint="eastAsia"/>
        </w:rPr>
        <w:t>体育健身</w:t>
      </w:r>
      <w:r>
        <w:tab/>
      </w:r>
      <w:fldSimple w:instr=" PAGEREF _Toc22770 ">
        <w:r>
          <w:t>17</w:t>
        </w:r>
      </w:fldSimple>
    </w:p>
    <w:p w:rsidR="00195273" w:rsidRDefault="004F4DE5">
      <w:pPr>
        <w:pStyle w:val="20"/>
        <w:tabs>
          <w:tab w:val="right" w:leader="dot" w:pos="8306"/>
        </w:tabs>
        <w:spacing w:line="400" w:lineRule="exact"/>
      </w:pPr>
      <w:r>
        <w:rPr>
          <w:rFonts w:ascii="仿宋_GB2312" w:eastAsia="仿宋_GB2312" w:cs="仿宋_GB2312" w:hint="eastAsia"/>
        </w:rPr>
        <w:t>（八）健康支撑产业</w:t>
      </w:r>
      <w:r>
        <w:tab/>
      </w:r>
      <w:fldSimple w:instr=" PAGEREF _Toc10011 ">
        <w:r>
          <w:t>17</w:t>
        </w:r>
      </w:fldSimple>
    </w:p>
    <w:p w:rsidR="00195273" w:rsidRDefault="004F4DE5">
      <w:pPr>
        <w:pStyle w:val="10"/>
        <w:tabs>
          <w:tab w:val="clear" w:pos="8296"/>
          <w:tab w:val="right" w:leader="dot" w:pos="8306"/>
        </w:tabs>
        <w:rPr>
          <w:color w:val="auto"/>
          <w:szCs w:val="21"/>
        </w:rPr>
      </w:pPr>
      <w:r>
        <w:rPr>
          <w:rFonts w:ascii="仿宋_GB2312" w:eastAsia="仿宋_GB2312" w:cs="仿宋_GB2312" w:hint="eastAsia"/>
          <w:color w:val="auto"/>
          <w:szCs w:val="32"/>
        </w:rPr>
        <w:t>四、鼓励发展领域及主要任务</w:t>
      </w:r>
      <w:r>
        <w:rPr>
          <w:color w:val="auto"/>
          <w:szCs w:val="21"/>
        </w:rPr>
        <w:tab/>
      </w:r>
      <w:r>
        <w:rPr>
          <w:color w:val="auto"/>
          <w:szCs w:val="21"/>
        </w:rPr>
        <w:fldChar w:fldCharType="begin"/>
      </w:r>
      <w:r>
        <w:rPr>
          <w:color w:val="auto"/>
          <w:szCs w:val="21"/>
        </w:rPr>
        <w:instrText xml:space="preserve"> PAGEREF _Toc7375 </w:instrText>
      </w:r>
      <w:r>
        <w:rPr>
          <w:color w:val="auto"/>
          <w:szCs w:val="21"/>
        </w:rPr>
        <w:fldChar w:fldCharType="separate"/>
      </w:r>
      <w:r>
        <w:rPr>
          <w:color w:val="auto"/>
          <w:szCs w:val="21"/>
        </w:rPr>
        <w:t>20</w:t>
      </w:r>
      <w:r>
        <w:rPr>
          <w:color w:val="auto"/>
          <w:szCs w:val="21"/>
        </w:rPr>
        <w:fldChar w:fldCharType="end"/>
      </w:r>
    </w:p>
    <w:p w:rsidR="00195273" w:rsidRDefault="004F4DE5">
      <w:pPr>
        <w:pStyle w:val="20"/>
        <w:tabs>
          <w:tab w:val="right" w:leader="dot" w:pos="8306"/>
        </w:tabs>
        <w:spacing w:line="400" w:lineRule="exact"/>
      </w:pPr>
      <w:r>
        <w:rPr>
          <w:rFonts w:ascii="仿宋_GB2312" w:eastAsia="仿宋_GB2312" w:cs="仿宋_GB2312" w:hint="eastAsia"/>
        </w:rPr>
        <w:t>（一）健康信息</w:t>
      </w:r>
      <w:r>
        <w:tab/>
      </w:r>
      <w:fldSimple w:instr=" PAGEREF _Toc8600 ">
        <w:r>
          <w:t>20</w:t>
        </w:r>
      </w:fldSimple>
    </w:p>
    <w:p w:rsidR="00195273" w:rsidRDefault="004F4DE5">
      <w:pPr>
        <w:pStyle w:val="20"/>
        <w:tabs>
          <w:tab w:val="right" w:leader="dot" w:pos="8306"/>
        </w:tabs>
        <w:spacing w:line="400" w:lineRule="exact"/>
      </w:pPr>
      <w:r>
        <w:rPr>
          <w:rFonts w:ascii="仿宋_GB2312" w:eastAsia="仿宋_GB2312" w:cs="仿宋_GB2312" w:hint="eastAsia"/>
        </w:rPr>
        <w:t>（二）健康保险</w:t>
      </w:r>
      <w:r>
        <w:tab/>
      </w:r>
      <w:fldSimple w:instr=" PAGEREF _Toc3650 ">
        <w:r>
          <w:t>21</w:t>
        </w:r>
      </w:fldSimple>
    </w:p>
    <w:p w:rsidR="00195273" w:rsidRDefault="004F4DE5">
      <w:pPr>
        <w:pStyle w:val="20"/>
        <w:tabs>
          <w:tab w:val="right" w:leader="dot" w:pos="8306"/>
        </w:tabs>
        <w:spacing w:line="400" w:lineRule="exact"/>
      </w:pPr>
      <w:r>
        <w:rPr>
          <w:rFonts w:ascii="仿宋_GB2312" w:eastAsia="仿宋_GB2312" w:cs="仿宋_GB2312" w:hint="eastAsia"/>
        </w:rPr>
        <w:t>（三）高端医疗器械</w:t>
      </w:r>
      <w:r>
        <w:tab/>
      </w:r>
      <w:fldSimple w:instr=" PAGEREF _Toc4386 ">
        <w:r>
          <w:t>22</w:t>
        </w:r>
      </w:fldSimple>
    </w:p>
    <w:p w:rsidR="00195273" w:rsidRDefault="004F4DE5">
      <w:pPr>
        <w:pStyle w:val="10"/>
        <w:tabs>
          <w:tab w:val="clear" w:pos="8296"/>
          <w:tab w:val="right" w:leader="dot" w:pos="8306"/>
        </w:tabs>
        <w:rPr>
          <w:color w:val="auto"/>
          <w:szCs w:val="21"/>
        </w:rPr>
      </w:pPr>
      <w:r>
        <w:rPr>
          <w:rFonts w:ascii="仿宋_GB2312" w:eastAsia="仿宋_GB2312" w:cs="仿宋_GB2312" w:hint="eastAsia"/>
          <w:color w:val="auto"/>
          <w:szCs w:val="32"/>
        </w:rPr>
        <w:t>五、空间布局</w:t>
      </w:r>
      <w:r>
        <w:rPr>
          <w:color w:val="auto"/>
          <w:szCs w:val="21"/>
        </w:rPr>
        <w:tab/>
      </w:r>
      <w:r>
        <w:rPr>
          <w:color w:val="auto"/>
          <w:szCs w:val="21"/>
        </w:rPr>
        <w:fldChar w:fldCharType="begin"/>
      </w:r>
      <w:r>
        <w:rPr>
          <w:color w:val="auto"/>
          <w:szCs w:val="21"/>
        </w:rPr>
        <w:instrText xml:space="preserve"> PAGEREF _Toc16405 </w:instrText>
      </w:r>
      <w:r>
        <w:rPr>
          <w:color w:val="auto"/>
          <w:szCs w:val="21"/>
        </w:rPr>
        <w:fldChar w:fldCharType="separate"/>
      </w:r>
      <w:r>
        <w:rPr>
          <w:color w:val="auto"/>
          <w:szCs w:val="21"/>
        </w:rPr>
        <w:t>22</w:t>
      </w:r>
      <w:r>
        <w:rPr>
          <w:color w:val="auto"/>
          <w:szCs w:val="21"/>
        </w:rPr>
        <w:fldChar w:fldCharType="end"/>
      </w:r>
    </w:p>
    <w:p w:rsidR="00195273" w:rsidRDefault="004F4DE5">
      <w:pPr>
        <w:pStyle w:val="10"/>
        <w:tabs>
          <w:tab w:val="clear" w:pos="8296"/>
          <w:tab w:val="right" w:leader="dot" w:pos="8306"/>
        </w:tabs>
        <w:rPr>
          <w:color w:val="auto"/>
          <w:szCs w:val="21"/>
        </w:rPr>
      </w:pPr>
      <w:r>
        <w:rPr>
          <w:rFonts w:ascii="仿宋_GB2312" w:eastAsia="仿宋_GB2312" w:cs="仿宋_GB2312" w:hint="eastAsia"/>
          <w:color w:val="auto"/>
          <w:szCs w:val="32"/>
        </w:rPr>
        <w:t>六、保障措施</w:t>
      </w:r>
      <w:r>
        <w:rPr>
          <w:color w:val="auto"/>
          <w:szCs w:val="21"/>
        </w:rPr>
        <w:tab/>
      </w:r>
      <w:r>
        <w:rPr>
          <w:color w:val="auto"/>
          <w:szCs w:val="21"/>
        </w:rPr>
        <w:fldChar w:fldCharType="begin"/>
      </w:r>
      <w:r>
        <w:rPr>
          <w:color w:val="auto"/>
          <w:szCs w:val="21"/>
        </w:rPr>
        <w:instrText xml:space="preserve"> PAGEREF _Toc5618 </w:instrText>
      </w:r>
      <w:r>
        <w:rPr>
          <w:color w:val="auto"/>
          <w:szCs w:val="21"/>
        </w:rPr>
        <w:fldChar w:fldCharType="separate"/>
      </w:r>
      <w:r>
        <w:rPr>
          <w:color w:val="auto"/>
          <w:szCs w:val="21"/>
        </w:rPr>
        <w:t>24</w:t>
      </w:r>
      <w:r>
        <w:rPr>
          <w:color w:val="auto"/>
          <w:szCs w:val="21"/>
        </w:rPr>
        <w:fldChar w:fldCharType="end"/>
      </w:r>
    </w:p>
    <w:p w:rsidR="00195273" w:rsidRDefault="004F4DE5">
      <w:pPr>
        <w:pStyle w:val="20"/>
        <w:tabs>
          <w:tab w:val="right" w:leader="dot" w:pos="8306"/>
        </w:tabs>
        <w:spacing w:line="400" w:lineRule="exact"/>
      </w:pPr>
      <w:r>
        <w:rPr>
          <w:rFonts w:ascii="仿宋_GB2312" w:eastAsia="仿宋_GB2312" w:cs="仿宋_GB2312" w:hint="eastAsia"/>
        </w:rPr>
        <w:t>（一）加强统筹协调，强化组织管理</w:t>
      </w:r>
      <w:r>
        <w:tab/>
      </w:r>
      <w:fldSimple w:instr=" PAGEREF _Toc4077 ">
        <w:r>
          <w:t>24</w:t>
        </w:r>
      </w:fldSimple>
    </w:p>
    <w:p w:rsidR="00195273" w:rsidRDefault="004F4DE5">
      <w:pPr>
        <w:pStyle w:val="20"/>
        <w:tabs>
          <w:tab w:val="right" w:leader="dot" w:pos="8306"/>
        </w:tabs>
        <w:spacing w:line="400" w:lineRule="exact"/>
      </w:pPr>
      <w:r>
        <w:rPr>
          <w:rFonts w:ascii="仿宋_GB2312" w:eastAsia="仿宋_GB2312" w:cs="仿宋_GB2312" w:hint="eastAsia"/>
        </w:rPr>
        <w:t>（二）健全政策法规，创造良好环境</w:t>
      </w:r>
      <w:r>
        <w:tab/>
      </w:r>
      <w:fldSimple w:instr=" PAGEREF _Toc1081 ">
        <w:r>
          <w:t>25</w:t>
        </w:r>
      </w:fldSimple>
    </w:p>
    <w:p w:rsidR="00195273" w:rsidRDefault="004F4DE5">
      <w:pPr>
        <w:pStyle w:val="20"/>
        <w:tabs>
          <w:tab w:val="right" w:leader="dot" w:pos="8306"/>
        </w:tabs>
        <w:spacing w:line="400" w:lineRule="exact"/>
      </w:pPr>
      <w:r>
        <w:rPr>
          <w:rFonts w:ascii="仿宋_GB2312" w:eastAsia="仿宋_GB2312" w:cs="仿宋_GB2312" w:hint="eastAsia"/>
        </w:rPr>
        <w:t>（三）加强人才培养，强化智力保障</w:t>
      </w:r>
      <w:r>
        <w:tab/>
      </w:r>
      <w:fldSimple w:instr=" PAGEREF _Toc16842 ">
        <w:r>
          <w:t>25</w:t>
        </w:r>
      </w:fldSimple>
    </w:p>
    <w:p w:rsidR="00195273" w:rsidRDefault="004F4DE5">
      <w:pPr>
        <w:pStyle w:val="20"/>
        <w:tabs>
          <w:tab w:val="right" w:leader="dot" w:pos="8306"/>
        </w:tabs>
        <w:spacing w:line="400" w:lineRule="exact"/>
      </w:pPr>
      <w:r>
        <w:rPr>
          <w:rFonts w:ascii="仿宋_GB2312" w:eastAsia="仿宋_GB2312" w:cs="仿宋_GB2312" w:hint="eastAsia"/>
        </w:rPr>
        <w:t>（四）创新融资模式，注入持续动力</w:t>
      </w:r>
      <w:r>
        <w:tab/>
      </w:r>
      <w:fldSimple w:instr=" PAGEREF _Toc13867 ">
        <w:r>
          <w:t>26</w:t>
        </w:r>
      </w:fldSimple>
    </w:p>
    <w:p w:rsidR="00195273" w:rsidRDefault="004F4DE5">
      <w:pPr>
        <w:pStyle w:val="20"/>
        <w:tabs>
          <w:tab w:val="right" w:leader="dot" w:pos="8306"/>
        </w:tabs>
        <w:spacing w:line="400" w:lineRule="exact"/>
      </w:pPr>
      <w:r>
        <w:rPr>
          <w:rFonts w:ascii="仿宋_GB2312" w:eastAsia="仿宋_GB2312" w:hAnsi="Arial" w:cs="仿宋_GB2312" w:hint="eastAsia"/>
          <w:bCs/>
          <w:szCs w:val="32"/>
        </w:rPr>
        <w:t>（五）完善行业标准，规范行业管理</w:t>
      </w:r>
      <w:r>
        <w:tab/>
      </w:r>
      <w:fldSimple w:instr=" PAGEREF _Toc7294 ">
        <w:r>
          <w:t>27</w:t>
        </w:r>
      </w:fldSimple>
    </w:p>
    <w:p w:rsidR="00195273" w:rsidRDefault="004F4DE5">
      <w:pPr>
        <w:pStyle w:val="20"/>
        <w:tabs>
          <w:tab w:val="right" w:leader="dot" w:pos="8306"/>
        </w:tabs>
        <w:spacing w:line="400" w:lineRule="exact"/>
      </w:pPr>
      <w:r>
        <w:rPr>
          <w:rFonts w:ascii="仿宋_GB2312" w:eastAsia="仿宋_GB2312" w:hAnsi="Arial" w:cs="仿宋_GB2312" w:hint="eastAsia"/>
          <w:bCs/>
          <w:szCs w:val="32"/>
        </w:rPr>
        <w:t>（六）深化体制改革，促进开放合作</w:t>
      </w:r>
      <w:r>
        <w:tab/>
      </w:r>
      <w:fldSimple w:instr=" PAGEREF _Toc32529 ">
        <w:r>
          <w:t>27</w:t>
        </w:r>
      </w:fldSimple>
    </w:p>
    <w:p w:rsidR="00195273" w:rsidRDefault="004F4DE5">
      <w:pPr>
        <w:pStyle w:val="10"/>
        <w:tabs>
          <w:tab w:val="clear" w:pos="8296"/>
          <w:tab w:val="right" w:leader="dot" w:pos="8306"/>
        </w:tabs>
        <w:rPr>
          <w:color w:val="auto"/>
          <w:szCs w:val="21"/>
        </w:rPr>
      </w:pPr>
      <w:r>
        <w:rPr>
          <w:rFonts w:ascii="仿宋_GB2312" w:eastAsia="仿宋_GB2312" w:cs="仿宋_GB2312" w:hint="eastAsia"/>
          <w:color w:val="auto"/>
          <w:szCs w:val="32"/>
        </w:rPr>
        <w:t>附注：名词解释</w:t>
      </w:r>
      <w:r>
        <w:rPr>
          <w:color w:val="auto"/>
          <w:szCs w:val="21"/>
        </w:rPr>
        <w:tab/>
      </w:r>
      <w:r>
        <w:rPr>
          <w:color w:val="auto"/>
          <w:szCs w:val="21"/>
        </w:rPr>
        <w:fldChar w:fldCharType="begin"/>
      </w:r>
      <w:r>
        <w:rPr>
          <w:color w:val="auto"/>
          <w:szCs w:val="21"/>
        </w:rPr>
        <w:instrText xml:space="preserve"> PAGEREF _Toc14057 </w:instrText>
      </w:r>
      <w:r>
        <w:rPr>
          <w:color w:val="auto"/>
          <w:szCs w:val="21"/>
        </w:rPr>
        <w:fldChar w:fldCharType="separate"/>
      </w:r>
      <w:r>
        <w:rPr>
          <w:color w:val="auto"/>
          <w:szCs w:val="21"/>
        </w:rPr>
        <w:t>29</w:t>
      </w:r>
      <w:r>
        <w:rPr>
          <w:color w:val="auto"/>
          <w:szCs w:val="21"/>
        </w:rPr>
        <w:fldChar w:fldCharType="end"/>
      </w:r>
    </w:p>
    <w:p w:rsidR="00195273" w:rsidRDefault="004F4DE5">
      <w:pPr>
        <w:pStyle w:val="10"/>
        <w:tabs>
          <w:tab w:val="clear" w:pos="8296"/>
          <w:tab w:val="right" w:leader="dot" w:pos="8306"/>
        </w:tabs>
        <w:rPr>
          <w:color w:val="auto"/>
          <w:szCs w:val="21"/>
        </w:rPr>
      </w:pPr>
      <w:r>
        <w:rPr>
          <w:rFonts w:ascii="仿宋_GB2312" w:eastAsia="仿宋_GB2312" w:cs="仿宋_GB2312" w:hint="eastAsia"/>
          <w:color w:val="auto"/>
          <w:szCs w:val="21"/>
        </w:rPr>
        <w:t>附表</w:t>
      </w:r>
      <w:r>
        <w:rPr>
          <w:color w:val="auto"/>
          <w:szCs w:val="21"/>
        </w:rPr>
        <w:tab/>
      </w:r>
      <w:r>
        <w:rPr>
          <w:color w:val="auto"/>
          <w:szCs w:val="21"/>
        </w:rPr>
        <w:fldChar w:fldCharType="begin"/>
      </w:r>
      <w:r>
        <w:rPr>
          <w:color w:val="auto"/>
          <w:szCs w:val="21"/>
        </w:rPr>
        <w:instrText xml:space="preserve"> PAGEREF _Toc20510 </w:instrText>
      </w:r>
      <w:r>
        <w:rPr>
          <w:color w:val="auto"/>
          <w:szCs w:val="21"/>
        </w:rPr>
        <w:fldChar w:fldCharType="separate"/>
      </w:r>
      <w:r>
        <w:rPr>
          <w:color w:val="auto"/>
          <w:szCs w:val="21"/>
        </w:rPr>
        <w:t>30</w:t>
      </w:r>
      <w:r>
        <w:rPr>
          <w:color w:val="auto"/>
          <w:szCs w:val="21"/>
        </w:rPr>
        <w:fldChar w:fldCharType="end"/>
      </w:r>
    </w:p>
    <w:p w:rsidR="00195273" w:rsidRDefault="004F4DE5">
      <w:pPr>
        <w:spacing w:line="400" w:lineRule="exact"/>
        <w:rPr>
          <w:rFonts w:ascii="仿宋_GB2312" w:eastAsia="仿宋_GB2312" w:hAnsi="Times New Roman" w:cs="Times New Roman"/>
          <w:b/>
          <w:bCs/>
          <w:sz w:val="32"/>
          <w:szCs w:val="32"/>
        </w:rPr>
        <w:sectPr w:rsidR="00195273">
          <w:footerReference w:type="default" r:id="rId9"/>
          <w:pgSz w:w="11906" w:h="16838"/>
          <w:pgMar w:top="1440" w:right="1800" w:bottom="1440" w:left="1800" w:header="851" w:footer="992" w:gutter="0"/>
          <w:pgNumType w:fmt="upperRoman"/>
          <w:cols w:space="720"/>
          <w:titlePg/>
          <w:docGrid w:linePitch="312"/>
        </w:sectPr>
      </w:pPr>
      <w:r>
        <w:rPr>
          <w:rFonts w:ascii="仿宋_GB2312" w:eastAsia="仿宋_GB2312" w:cs="仿宋_GB2312"/>
        </w:rPr>
        <w:fldChar w:fldCharType="end"/>
      </w:r>
    </w:p>
    <w:p w:rsidR="00195273" w:rsidRDefault="004F4DE5">
      <w:pPr>
        <w:pStyle w:val="1"/>
        <w:widowControl/>
        <w:autoSpaceDE w:val="0"/>
        <w:snapToGrid w:val="0"/>
        <w:spacing w:before="220" w:after="0" w:line="480" w:lineRule="auto"/>
        <w:jc w:val="center"/>
        <w:rPr>
          <w:rFonts w:cs="Times New Roman"/>
          <w:sz w:val="44"/>
          <w:szCs w:val="44"/>
        </w:rPr>
      </w:pPr>
      <w:bookmarkStart w:id="0" w:name="_Toc415615265"/>
      <w:bookmarkStart w:id="1" w:name="_Toc18116"/>
      <w:r>
        <w:rPr>
          <w:rFonts w:cs="黑体" w:hint="eastAsia"/>
          <w:sz w:val="44"/>
          <w:szCs w:val="44"/>
        </w:rPr>
        <w:lastRenderedPageBreak/>
        <w:t>前言</w:t>
      </w:r>
      <w:bookmarkEnd w:id="0"/>
      <w:bookmarkEnd w:id="1"/>
    </w:p>
    <w:p w:rsidR="00195273" w:rsidRDefault="004F4DE5" w:rsidP="0013485A">
      <w:pPr>
        <w:spacing w:line="45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世界经济复苏缓慢，在低速“弱增长”中转型，在转型中“弱增长”将是未来世界经济发展的新常态。历经</w:t>
      </w:r>
      <w:r>
        <w:rPr>
          <w:rFonts w:ascii="仿宋_GB2312" w:eastAsia="仿宋_GB2312" w:cs="仿宋_GB2312"/>
          <w:sz w:val="30"/>
          <w:szCs w:val="30"/>
        </w:rPr>
        <w:t>30</w:t>
      </w:r>
      <w:r>
        <w:rPr>
          <w:rFonts w:ascii="仿宋_GB2312" w:eastAsia="仿宋_GB2312" w:cs="仿宋_GB2312" w:hint="eastAsia"/>
          <w:sz w:val="30"/>
          <w:szCs w:val="30"/>
        </w:rPr>
        <w:t>多年的粗放型高速增长，中国经济已进入以“中高速、优结构、新动力”为主要特征的新常态，其本质是发展方式的转变、增长形态的跳跃、动力机制的切换问题，而产业优化升级与创新驱动则成为新常态下中国经济中高速增长的新引擎。健康产业是世界各国重点培育和发展的新兴产业，对推动中国产业升级与创新发展具有重大战略意义。随着经济社会的快速发展、人民生活水平的日益提高和消费观念的重大转变，人民对健康的关注和需求越来越迫切。生命科学、生物技术、信息技术取得重大突破，商业模式创新和产业融合不断加速，新产品、新应用、新业态层出不穷，健康产业将成为推动中国经济转型升级的新动力。在此国内外背景下，抢占高端、适应新常态，加快我市健康产业发展与布局，是培育未来经济增长点、推动产业升级并实现新突破的战略决策，也是贯彻落实“健康浙江”战略的重大举措。</w:t>
      </w:r>
    </w:p>
    <w:p w:rsidR="00195273" w:rsidRDefault="004F4DE5" w:rsidP="0013485A">
      <w:pPr>
        <w:spacing w:line="45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本规划所述健康产业包括医疗服务、健康管理与促进、照护康复、中医药医疗保健、生态休闲养生（老）、健康旅游与文化、健康信息、高端医疗、健康保险等领域的健康服务业以及为其提供支撑的生物医药、健康食品、养生（老）用品等健康制造业。</w:t>
      </w:r>
    </w:p>
    <w:p w:rsidR="00195273" w:rsidRDefault="004F4DE5" w:rsidP="0013485A">
      <w:pPr>
        <w:spacing w:line="45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本规划是指导全市健康产业发展的纲领性文件，将贯彻落实国务院及浙江省关于加快健康产业发展的决策部署，抓住战略机遇，深入推动全市健康产业快速发展。规划范围为丽水市所在行政区域（含下辖区、县、市），规划基年为</w:t>
      </w:r>
      <w:r>
        <w:rPr>
          <w:rFonts w:ascii="仿宋_GB2312" w:eastAsia="仿宋_GB2312" w:cs="仿宋_GB2312"/>
          <w:sz w:val="30"/>
          <w:szCs w:val="30"/>
        </w:rPr>
        <w:t>2015</w:t>
      </w:r>
      <w:r>
        <w:rPr>
          <w:rFonts w:ascii="仿宋_GB2312" w:eastAsia="仿宋_GB2312" w:cs="仿宋_GB2312" w:hint="eastAsia"/>
          <w:sz w:val="30"/>
          <w:szCs w:val="30"/>
        </w:rPr>
        <w:t>年，规划期限为</w:t>
      </w:r>
      <w:r>
        <w:rPr>
          <w:rFonts w:ascii="仿宋_GB2312" w:eastAsia="仿宋_GB2312" w:cs="仿宋_GB2312"/>
          <w:sz w:val="30"/>
          <w:szCs w:val="30"/>
        </w:rPr>
        <w:t>2016-2025</w:t>
      </w:r>
      <w:r>
        <w:rPr>
          <w:rFonts w:ascii="仿宋_GB2312" w:eastAsia="仿宋_GB2312" w:cs="仿宋_GB2312" w:hint="eastAsia"/>
          <w:sz w:val="30"/>
          <w:szCs w:val="30"/>
        </w:rPr>
        <w:t>年。规划依据：</w:t>
      </w:r>
    </w:p>
    <w:p w:rsidR="00195273" w:rsidRDefault="004F4DE5">
      <w:pPr>
        <w:spacing w:line="450" w:lineRule="exact"/>
        <w:rPr>
          <w:rFonts w:ascii="仿宋_GB2312" w:eastAsia="仿宋_GB2312" w:cs="Times New Roman"/>
          <w:sz w:val="30"/>
          <w:szCs w:val="30"/>
        </w:rPr>
      </w:pPr>
      <w:r>
        <w:rPr>
          <w:rFonts w:ascii="仿宋_GB2312" w:eastAsia="仿宋_GB2312" w:cs="仿宋_GB2312" w:hint="eastAsia"/>
          <w:sz w:val="30"/>
          <w:szCs w:val="30"/>
        </w:rPr>
        <w:t>（一）《国务院关于促进健康服务业发展的若干意见》；</w:t>
      </w:r>
    </w:p>
    <w:p w:rsidR="00195273" w:rsidRDefault="004F4DE5">
      <w:pPr>
        <w:spacing w:line="450" w:lineRule="exact"/>
        <w:rPr>
          <w:rFonts w:ascii="仿宋_GB2312" w:eastAsia="仿宋_GB2312" w:cs="仿宋_GB2312"/>
          <w:sz w:val="30"/>
          <w:szCs w:val="30"/>
        </w:rPr>
      </w:pPr>
      <w:r>
        <w:rPr>
          <w:rFonts w:ascii="仿宋_GB2312" w:eastAsia="仿宋_GB2312" w:cs="仿宋_GB2312" w:hint="eastAsia"/>
          <w:sz w:val="30"/>
          <w:szCs w:val="30"/>
        </w:rPr>
        <w:t>（二）《浙江省人民政府关于促进健康服务业发展的实施意见》；</w:t>
      </w:r>
    </w:p>
    <w:p w:rsidR="00195273" w:rsidRDefault="004F4DE5">
      <w:pPr>
        <w:spacing w:line="450" w:lineRule="exact"/>
        <w:rPr>
          <w:rFonts w:ascii="仿宋_GB2312" w:eastAsia="仿宋_GB2312" w:cs="仿宋_GB2312"/>
          <w:sz w:val="30"/>
          <w:szCs w:val="30"/>
        </w:rPr>
      </w:pPr>
      <w:r>
        <w:rPr>
          <w:rFonts w:ascii="仿宋_GB2312" w:eastAsia="仿宋_GB2312" w:cs="仿宋_GB2312" w:hint="eastAsia"/>
          <w:sz w:val="30"/>
          <w:szCs w:val="30"/>
        </w:rPr>
        <w:t>（三）省卫计委、发改委等《关于促进中医药健康服务业发展实施意见》；</w:t>
      </w:r>
    </w:p>
    <w:p w:rsidR="00195273" w:rsidRDefault="004F4DE5">
      <w:pPr>
        <w:spacing w:line="450" w:lineRule="exact"/>
        <w:rPr>
          <w:rFonts w:ascii="仿宋_GB2312" w:eastAsia="仿宋_GB2312" w:cs="仿宋_GB2312"/>
          <w:sz w:val="30"/>
          <w:szCs w:val="30"/>
        </w:rPr>
      </w:pPr>
      <w:r>
        <w:rPr>
          <w:rFonts w:ascii="仿宋_GB2312" w:eastAsia="仿宋_GB2312" w:cs="仿宋_GB2312" w:hint="eastAsia"/>
          <w:sz w:val="30"/>
          <w:szCs w:val="30"/>
        </w:rPr>
        <w:t>（四）《浙江省人民政府关于加快推进中医药健康服务业发展的意见》；</w:t>
      </w:r>
    </w:p>
    <w:p w:rsidR="00195273" w:rsidRDefault="004F4DE5">
      <w:pPr>
        <w:spacing w:line="450" w:lineRule="exact"/>
        <w:rPr>
          <w:rFonts w:ascii="仿宋_GB2312" w:eastAsia="仿宋_GB2312" w:cs="Times New Roman"/>
          <w:sz w:val="30"/>
          <w:szCs w:val="30"/>
        </w:rPr>
      </w:pPr>
      <w:r>
        <w:rPr>
          <w:rFonts w:ascii="仿宋_GB2312" w:eastAsia="仿宋_GB2312" w:cs="仿宋_GB2312" w:hint="eastAsia"/>
          <w:sz w:val="30"/>
          <w:szCs w:val="30"/>
        </w:rPr>
        <w:t>（五）《丽水市国民经济和社会发展第十三个五年规划纲要》；</w:t>
      </w:r>
    </w:p>
    <w:p w:rsidR="00195273" w:rsidRDefault="004F4DE5">
      <w:pPr>
        <w:spacing w:line="450" w:lineRule="exact"/>
        <w:rPr>
          <w:rFonts w:ascii="仿宋_GB2312" w:eastAsia="仿宋_GB2312" w:cs="Times New Roman"/>
          <w:sz w:val="30"/>
          <w:szCs w:val="30"/>
        </w:rPr>
      </w:pPr>
      <w:r>
        <w:rPr>
          <w:rFonts w:ascii="仿宋_GB2312" w:eastAsia="仿宋_GB2312" w:cs="仿宋_GB2312" w:hint="eastAsia"/>
          <w:sz w:val="30"/>
          <w:szCs w:val="30"/>
        </w:rPr>
        <w:t>（六）《丽水市生态休闲养生养老经济发展规划》等。</w:t>
      </w:r>
    </w:p>
    <w:p w:rsidR="00195273" w:rsidRDefault="004F4DE5" w:rsidP="0013485A">
      <w:pPr>
        <w:pStyle w:val="1"/>
        <w:widowControl/>
        <w:spacing w:before="0" w:after="0" w:line="540" w:lineRule="exact"/>
        <w:ind w:firstLineChars="200" w:firstLine="643"/>
        <w:rPr>
          <w:rStyle w:val="1Char"/>
          <w:rFonts w:ascii="仿宋_GB2312" w:eastAsia="仿宋_GB2312" w:cs="Times New Roman"/>
          <w:b/>
          <w:bCs/>
          <w:sz w:val="32"/>
          <w:szCs w:val="32"/>
        </w:rPr>
      </w:pPr>
      <w:bookmarkStart w:id="2" w:name="_Toc415615266"/>
      <w:bookmarkStart w:id="3" w:name="_Toc16967"/>
      <w:r>
        <w:rPr>
          <w:rStyle w:val="1Char"/>
          <w:rFonts w:ascii="仿宋_GB2312" w:eastAsia="仿宋_GB2312" w:cs="仿宋_GB2312" w:hint="eastAsia"/>
          <w:b/>
          <w:bCs/>
          <w:sz w:val="32"/>
          <w:szCs w:val="32"/>
        </w:rPr>
        <w:lastRenderedPageBreak/>
        <w:t>一、发展基础</w:t>
      </w:r>
      <w:bookmarkEnd w:id="2"/>
      <w:bookmarkEnd w:id="3"/>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我市自然资源丰富，生态优势明显，是“中国生态第一市”，国家级优秀旅游城市和国家级森林城市。经过近些年的发展，已形成以健康制造业为基础、以健康服务业为主体的健康产业格局。目前在生物医药、医疗服务领域已具有一定的产业基础，在健康休闲和养生养老、健康旅游和文化服务、中医药医疗保健、健康食（用）品等领域已形成鲜明特色和比较优势。</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4" w:name="_Toc415615267"/>
      <w:bookmarkStart w:id="5" w:name="_Toc8915"/>
      <w:r>
        <w:rPr>
          <w:rFonts w:ascii="仿宋_GB2312" w:eastAsia="仿宋_GB2312" w:cs="仿宋_GB2312" w:hint="eastAsia"/>
        </w:rPr>
        <w:t>（一）健康制造业</w:t>
      </w:r>
      <w:bookmarkEnd w:id="4"/>
      <w:r>
        <w:rPr>
          <w:rFonts w:ascii="仿宋_GB2312" w:eastAsia="仿宋_GB2312" w:cs="仿宋_GB2312" w:hint="eastAsia"/>
        </w:rPr>
        <w:t>现状</w:t>
      </w:r>
      <w:bookmarkEnd w:id="5"/>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产业规模不断扩大，优势领域初步显现，产业集聚特色明显。截止</w:t>
      </w:r>
      <w:r>
        <w:rPr>
          <w:rFonts w:ascii="仿宋_GB2312" w:eastAsia="仿宋_GB2312" w:cs="仿宋_GB2312"/>
          <w:sz w:val="32"/>
          <w:szCs w:val="32"/>
        </w:rPr>
        <w:t>2014</w:t>
      </w:r>
      <w:r>
        <w:rPr>
          <w:rFonts w:ascii="仿宋_GB2312" w:eastAsia="仿宋_GB2312" w:cs="仿宋_GB2312" w:hint="eastAsia"/>
          <w:sz w:val="32"/>
          <w:szCs w:val="32"/>
        </w:rPr>
        <w:t>年底，全市规模以上医药制造业总产值为</w:t>
      </w:r>
      <w:r>
        <w:rPr>
          <w:rFonts w:ascii="仿宋_GB2312" w:eastAsia="仿宋_GB2312" w:cs="仿宋_GB2312"/>
          <w:sz w:val="32"/>
          <w:szCs w:val="32"/>
        </w:rPr>
        <w:t>24.14</w:t>
      </w:r>
      <w:r>
        <w:rPr>
          <w:rFonts w:ascii="仿宋_GB2312" w:eastAsia="仿宋_GB2312" w:cs="仿宋_GB2312" w:hint="eastAsia"/>
          <w:sz w:val="32"/>
          <w:szCs w:val="32"/>
        </w:rPr>
        <w:t>亿元，同比增长</w:t>
      </w:r>
      <w:r>
        <w:rPr>
          <w:rFonts w:ascii="仿宋_GB2312" w:eastAsia="仿宋_GB2312" w:cs="仿宋_GB2312"/>
          <w:sz w:val="32"/>
          <w:szCs w:val="32"/>
        </w:rPr>
        <w:t>31%</w:t>
      </w:r>
      <w:r>
        <w:rPr>
          <w:rFonts w:ascii="仿宋_GB2312" w:eastAsia="仿宋_GB2312" w:cs="仿宋_GB2312" w:hint="eastAsia"/>
          <w:sz w:val="32"/>
          <w:szCs w:val="32"/>
        </w:rPr>
        <w:t>。已培育一批生物医药骨干企业（国镜、康恩贝、众益、方格、维康、</w:t>
      </w:r>
      <w:r w:rsidR="0013485A">
        <w:rPr>
          <w:rFonts w:ascii="仿宋_GB2312" w:eastAsia="仿宋_GB2312" w:cs="仿宋_GB2312" w:hint="eastAsia"/>
          <w:sz w:val="32"/>
          <w:szCs w:val="32"/>
        </w:rPr>
        <w:t>五养堂</w:t>
      </w:r>
      <w:r>
        <w:rPr>
          <w:rFonts w:ascii="仿宋_GB2312" w:eastAsia="仿宋_GB2312" w:cs="仿宋_GB2312" w:hint="eastAsia"/>
          <w:sz w:val="32"/>
          <w:szCs w:val="32"/>
        </w:rPr>
        <w:t>等）和主导产品（食用菌多糖、灵芝胶囊等）。</w:t>
      </w:r>
      <w:r>
        <w:rPr>
          <w:rFonts w:ascii="仿宋_GB2312" w:eastAsia="仿宋_GB2312" w:cs="仿宋_GB2312"/>
          <w:sz w:val="32"/>
          <w:szCs w:val="32"/>
        </w:rPr>
        <w:t>vk2</w:t>
      </w:r>
      <w:r>
        <w:rPr>
          <w:rFonts w:ascii="仿宋_GB2312" w:eastAsia="仿宋_GB2312" w:cs="仿宋_GB2312" w:hint="eastAsia"/>
          <w:sz w:val="32"/>
          <w:szCs w:val="32"/>
        </w:rPr>
        <w:t>、抗癌药物、牛樟芝、藏红花、珊瑚、健康味精等生物医药和信息化产业项目相继签约，现已初步形成生物制药、药物制剂、现代中药、医疗器械、电子商务及物流等门类较为齐全的生物医药产业格局，在药物微丸缓控释技术新型制剂开发、食用菌多糖开发利用、中药配方颗粒开发等方面走在行业前端，在原料药、生物提取、中药制药和中药保健品等领域发展优势彰显，生物医药产业集聚效应已初步显现，有望成为浙江省生物医药产业发展基地。健康休闲和养生养老产业是我市着力打造的品牌产业，目前全市从事养生产业、具有一定规模的企业有</w:t>
      </w:r>
      <w:r>
        <w:rPr>
          <w:rFonts w:ascii="仿宋_GB2312" w:eastAsia="仿宋_GB2312" w:cs="仿宋_GB2312"/>
          <w:sz w:val="32"/>
          <w:szCs w:val="32"/>
        </w:rPr>
        <w:t>1900</w:t>
      </w:r>
      <w:r>
        <w:rPr>
          <w:rFonts w:ascii="仿宋_GB2312" w:eastAsia="仿宋_GB2312" w:cs="仿宋_GB2312" w:hint="eastAsia"/>
          <w:sz w:val="32"/>
          <w:szCs w:val="32"/>
        </w:rPr>
        <w:t>余家、</w:t>
      </w:r>
      <w:r>
        <w:rPr>
          <w:rFonts w:ascii="仿宋_GB2312" w:eastAsia="仿宋_GB2312" w:cs="仿宋_GB2312"/>
          <w:sz w:val="32"/>
          <w:szCs w:val="32"/>
        </w:rPr>
        <w:t>2200</w:t>
      </w:r>
      <w:r>
        <w:rPr>
          <w:rFonts w:ascii="仿宋_GB2312" w:eastAsia="仿宋_GB2312" w:cs="仿宋_GB2312" w:hint="eastAsia"/>
          <w:sz w:val="32"/>
          <w:szCs w:val="32"/>
        </w:rPr>
        <w:t>余种产品，涉及保健食品、护理用品、运动器械、农林产品精深加工等养生农林业、养生</w:t>
      </w:r>
      <w:r>
        <w:rPr>
          <w:rFonts w:ascii="仿宋_GB2312" w:eastAsia="仿宋_GB2312" w:cs="仿宋_GB2312"/>
          <w:sz w:val="32"/>
          <w:szCs w:val="32"/>
        </w:rPr>
        <w:t>(</w:t>
      </w:r>
      <w:r>
        <w:rPr>
          <w:rFonts w:ascii="仿宋_GB2312" w:eastAsia="仿宋_GB2312" w:cs="仿宋_GB2312" w:hint="eastAsia"/>
          <w:sz w:val="32"/>
          <w:szCs w:val="32"/>
        </w:rPr>
        <w:t>养老</w:t>
      </w:r>
      <w:r>
        <w:rPr>
          <w:rFonts w:ascii="仿宋_GB2312" w:eastAsia="仿宋_GB2312" w:cs="仿宋_GB2312"/>
          <w:sz w:val="32"/>
          <w:szCs w:val="32"/>
        </w:rPr>
        <w:t>)</w:t>
      </w:r>
      <w:r>
        <w:rPr>
          <w:rFonts w:ascii="仿宋_GB2312" w:eastAsia="仿宋_GB2312" w:cs="仿宋_GB2312" w:hint="eastAsia"/>
          <w:sz w:val="32"/>
          <w:szCs w:val="32"/>
        </w:rPr>
        <w:t>用品制造业各行业，截至</w:t>
      </w:r>
      <w:r>
        <w:rPr>
          <w:rFonts w:ascii="仿宋_GB2312" w:eastAsia="仿宋_GB2312" w:cs="仿宋_GB2312"/>
          <w:sz w:val="32"/>
          <w:szCs w:val="32"/>
        </w:rPr>
        <w:t>2014</w:t>
      </w:r>
      <w:r>
        <w:rPr>
          <w:rFonts w:ascii="仿宋_GB2312" w:eastAsia="仿宋_GB2312" w:cs="仿宋_GB2312" w:hint="eastAsia"/>
          <w:sz w:val="32"/>
          <w:szCs w:val="32"/>
        </w:rPr>
        <w:t>年底已累计完成投资</w:t>
      </w:r>
      <w:r>
        <w:rPr>
          <w:rFonts w:ascii="仿宋_GB2312" w:eastAsia="仿宋_GB2312" w:cs="仿宋_GB2312"/>
          <w:sz w:val="32"/>
          <w:szCs w:val="32"/>
        </w:rPr>
        <w:t>10.3</w:t>
      </w:r>
      <w:r>
        <w:rPr>
          <w:rFonts w:ascii="仿宋_GB2312" w:eastAsia="仿宋_GB2312" w:cs="仿宋_GB2312" w:hint="eastAsia"/>
          <w:sz w:val="32"/>
          <w:szCs w:val="32"/>
        </w:rPr>
        <w:t>亿元。伴随着产业培育投入的加大，以浙江五养堂药业有限公司为代表的一大批养生企业在发展规模和品牌效应上成效初显。纳爱斯、艾莱依、新云木业等生态休闲养生龙头企业已在行业内和市场上具有较高知</w:t>
      </w:r>
      <w:r>
        <w:rPr>
          <w:rFonts w:ascii="仿宋_GB2312" w:eastAsia="仿宋_GB2312" w:cs="仿宋_GB2312" w:hint="eastAsia"/>
          <w:sz w:val="32"/>
          <w:szCs w:val="32"/>
        </w:rPr>
        <w:lastRenderedPageBreak/>
        <w:t>名度。区域品牌如丽水三宝（青田石雕、龙泉青瓷和宝剑）、云和木制玩具、缙云节能灯具、遂昌休闲电动车等健康用品对外影响力日益提升，后发优势日益凸显，特别是庆元竹制品、遂昌竹炭制品加工等主导健康产品的比较优势尤为突出，产业特色化、原生化的趋势日益明显。</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6" w:name="_Toc415615268"/>
      <w:bookmarkStart w:id="7" w:name="_Toc14499"/>
      <w:r>
        <w:rPr>
          <w:rFonts w:ascii="仿宋_GB2312" w:eastAsia="仿宋_GB2312" w:cs="仿宋_GB2312" w:hint="eastAsia"/>
        </w:rPr>
        <w:t>（二）健康服务业</w:t>
      </w:r>
      <w:bookmarkEnd w:id="6"/>
      <w:r>
        <w:rPr>
          <w:rFonts w:ascii="仿宋_GB2312" w:eastAsia="仿宋_GB2312" w:cs="仿宋_GB2312" w:hint="eastAsia"/>
        </w:rPr>
        <w:t>现状</w:t>
      </w:r>
      <w:bookmarkEnd w:id="7"/>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医疗服务体系完善</w:t>
      </w:r>
      <w:bookmarkStart w:id="8" w:name="OLE_LINK19"/>
      <w:bookmarkStart w:id="9" w:name="OLE_LINK18"/>
      <w:r>
        <w:rPr>
          <w:rFonts w:ascii="仿宋_GB2312" w:eastAsia="仿宋_GB2312" w:cs="仿宋_GB2312" w:hint="eastAsia"/>
          <w:sz w:val="32"/>
          <w:szCs w:val="32"/>
        </w:rPr>
        <w:t>，丽水市</w:t>
      </w:r>
      <w:bookmarkEnd w:id="8"/>
      <w:bookmarkEnd w:id="9"/>
      <w:r>
        <w:rPr>
          <w:rFonts w:ascii="仿宋_GB2312" w:eastAsia="仿宋_GB2312" w:cs="仿宋_GB2312" w:hint="eastAsia"/>
          <w:sz w:val="32"/>
          <w:szCs w:val="32"/>
        </w:rPr>
        <w:t>已建立起市、县、乡、村四级医疗服务网。2014年全市共有卫生机构</w:t>
      </w:r>
      <w:r>
        <w:rPr>
          <w:rFonts w:ascii="仿宋_GB2312" w:eastAsia="仿宋_GB2312" w:cs="仿宋_GB2312"/>
          <w:sz w:val="32"/>
          <w:szCs w:val="32"/>
        </w:rPr>
        <w:t xml:space="preserve"> 3</w:t>
      </w:r>
      <w:r>
        <w:rPr>
          <w:rFonts w:ascii="仿宋_GB2312" w:eastAsia="仿宋_GB2312" w:cs="仿宋_GB2312" w:hint="eastAsia"/>
          <w:sz w:val="32"/>
          <w:szCs w:val="32"/>
        </w:rPr>
        <w:t>4</w:t>
      </w:r>
      <w:r>
        <w:rPr>
          <w:rFonts w:ascii="仿宋_GB2312" w:eastAsia="仿宋_GB2312" w:cs="仿宋_GB2312"/>
          <w:sz w:val="32"/>
          <w:szCs w:val="32"/>
        </w:rPr>
        <w:t>2</w:t>
      </w:r>
      <w:r>
        <w:rPr>
          <w:rFonts w:ascii="仿宋_GB2312" w:eastAsia="仿宋_GB2312" w:cs="仿宋_GB2312" w:hint="eastAsia"/>
          <w:sz w:val="32"/>
          <w:szCs w:val="32"/>
        </w:rPr>
        <w:t>个（不含诊所、村卫生室等），其中医院、卫生院</w:t>
      </w:r>
      <w:r>
        <w:rPr>
          <w:rFonts w:ascii="仿宋_GB2312" w:eastAsia="仿宋_GB2312" w:cs="仿宋_GB2312"/>
          <w:sz w:val="32"/>
          <w:szCs w:val="32"/>
        </w:rPr>
        <w:t xml:space="preserve"> 23</w:t>
      </w:r>
      <w:r>
        <w:rPr>
          <w:rFonts w:ascii="仿宋_GB2312" w:eastAsia="仿宋_GB2312" w:cs="仿宋_GB2312" w:hint="eastAsia"/>
          <w:sz w:val="32"/>
          <w:szCs w:val="32"/>
        </w:rPr>
        <w:t>8个，妇幼保健院（所、站）</w:t>
      </w:r>
      <w:r>
        <w:rPr>
          <w:rFonts w:ascii="仿宋_GB2312" w:eastAsia="仿宋_GB2312" w:cs="仿宋_GB2312"/>
          <w:sz w:val="32"/>
          <w:szCs w:val="32"/>
        </w:rPr>
        <w:t>9</w:t>
      </w:r>
      <w:r>
        <w:rPr>
          <w:rFonts w:ascii="仿宋_GB2312" w:eastAsia="仿宋_GB2312" w:cs="仿宋_GB2312" w:hint="eastAsia"/>
          <w:sz w:val="32"/>
          <w:szCs w:val="32"/>
        </w:rPr>
        <w:t>个，疾病预防控制中心</w:t>
      </w:r>
      <w:r>
        <w:rPr>
          <w:rFonts w:ascii="仿宋_GB2312" w:eastAsia="仿宋_GB2312" w:cs="仿宋_GB2312"/>
          <w:sz w:val="32"/>
          <w:szCs w:val="32"/>
        </w:rPr>
        <w:t>9</w:t>
      </w:r>
      <w:r>
        <w:rPr>
          <w:rFonts w:ascii="仿宋_GB2312" w:eastAsia="仿宋_GB2312" w:cs="仿宋_GB2312" w:hint="eastAsia"/>
          <w:sz w:val="32"/>
          <w:szCs w:val="32"/>
        </w:rPr>
        <w:t>个，卫生监督所</w:t>
      </w:r>
      <w:r>
        <w:rPr>
          <w:rFonts w:ascii="仿宋_GB2312" w:eastAsia="仿宋_GB2312" w:cs="仿宋_GB2312"/>
          <w:sz w:val="32"/>
          <w:szCs w:val="32"/>
        </w:rPr>
        <w:t>10</w:t>
      </w:r>
      <w:r>
        <w:rPr>
          <w:rFonts w:ascii="仿宋_GB2312" w:eastAsia="仿宋_GB2312" w:cs="仿宋_GB2312" w:hint="eastAsia"/>
          <w:sz w:val="32"/>
          <w:szCs w:val="32"/>
        </w:rPr>
        <w:t>个。卫生技术人员</w:t>
      </w:r>
      <w:r>
        <w:rPr>
          <w:rFonts w:ascii="仿宋_GB2312" w:eastAsia="仿宋_GB2312" w:cs="仿宋_GB2312"/>
          <w:sz w:val="32"/>
          <w:szCs w:val="32"/>
        </w:rPr>
        <w:t>1</w:t>
      </w:r>
      <w:r>
        <w:rPr>
          <w:rFonts w:ascii="仿宋_GB2312" w:eastAsia="仿宋_GB2312" w:cs="仿宋_GB2312" w:hint="eastAsia"/>
          <w:sz w:val="32"/>
          <w:szCs w:val="32"/>
        </w:rPr>
        <w:t>6086人，其中执业医师和执业助理医师6200人，注册护士6104人。截至</w:t>
      </w:r>
      <w:r>
        <w:rPr>
          <w:rFonts w:ascii="仿宋_GB2312" w:eastAsia="仿宋_GB2312" w:cs="仿宋_GB2312"/>
          <w:sz w:val="32"/>
          <w:szCs w:val="32"/>
        </w:rPr>
        <w:t>2014</w:t>
      </w:r>
      <w:r>
        <w:rPr>
          <w:rFonts w:ascii="仿宋_GB2312" w:eastAsia="仿宋_GB2312" w:cs="仿宋_GB2312" w:hint="eastAsia"/>
          <w:sz w:val="32"/>
          <w:szCs w:val="32"/>
        </w:rPr>
        <w:t>年床位数</w:t>
      </w:r>
      <w:r>
        <w:rPr>
          <w:rFonts w:ascii="仿宋_GB2312" w:eastAsia="仿宋_GB2312" w:cs="仿宋_GB2312"/>
          <w:sz w:val="32"/>
          <w:szCs w:val="32"/>
        </w:rPr>
        <w:t>10999</w:t>
      </w:r>
      <w:r>
        <w:rPr>
          <w:rFonts w:ascii="仿宋_GB2312" w:eastAsia="仿宋_GB2312" w:cs="仿宋_GB2312" w:hint="eastAsia"/>
          <w:sz w:val="32"/>
          <w:szCs w:val="32"/>
        </w:rPr>
        <w:t>张，其中公立医院7892张，民办医院</w:t>
      </w:r>
      <w:r>
        <w:rPr>
          <w:rFonts w:ascii="仿宋_GB2312" w:eastAsia="仿宋_GB2312" w:cs="仿宋_GB2312"/>
          <w:sz w:val="32"/>
          <w:szCs w:val="32"/>
        </w:rPr>
        <w:t>2093</w:t>
      </w:r>
      <w:r>
        <w:rPr>
          <w:rFonts w:ascii="仿宋_GB2312" w:eastAsia="仿宋_GB2312" w:cs="仿宋_GB2312" w:hint="eastAsia"/>
          <w:sz w:val="32"/>
          <w:szCs w:val="32"/>
        </w:rPr>
        <w:t>张，社区及卫生院849张，妇幼保健院（所）165张。全市共完成</w:t>
      </w:r>
      <w:r>
        <w:rPr>
          <w:rFonts w:ascii="仿宋_GB2312" w:eastAsia="仿宋_GB2312" w:cs="仿宋_GB2312"/>
          <w:sz w:val="32"/>
          <w:szCs w:val="32"/>
        </w:rPr>
        <w:t xml:space="preserve"> 79.4</w:t>
      </w:r>
      <w:r>
        <w:rPr>
          <w:rFonts w:ascii="仿宋_GB2312" w:eastAsia="仿宋_GB2312" w:cs="仿宋_GB2312" w:hint="eastAsia"/>
          <w:sz w:val="32"/>
          <w:szCs w:val="32"/>
        </w:rPr>
        <w:t>万人的免费健康体检，其中</w:t>
      </w:r>
      <w:r>
        <w:rPr>
          <w:rFonts w:ascii="仿宋_GB2312" w:eastAsia="仿宋_GB2312" w:cs="仿宋_GB2312"/>
          <w:sz w:val="32"/>
          <w:szCs w:val="32"/>
        </w:rPr>
        <w:t>60</w:t>
      </w:r>
      <w:r>
        <w:rPr>
          <w:rFonts w:ascii="仿宋_GB2312" w:eastAsia="仿宋_GB2312" w:cs="仿宋_GB2312" w:hint="eastAsia"/>
          <w:sz w:val="32"/>
          <w:szCs w:val="32"/>
        </w:rPr>
        <w:t>岁以上老年人</w:t>
      </w:r>
      <w:r>
        <w:rPr>
          <w:rFonts w:ascii="仿宋_GB2312" w:eastAsia="仿宋_GB2312" w:cs="仿宋_GB2312"/>
          <w:sz w:val="32"/>
          <w:szCs w:val="32"/>
        </w:rPr>
        <w:t>234947</w:t>
      </w:r>
      <w:r>
        <w:rPr>
          <w:rFonts w:ascii="仿宋_GB2312" w:eastAsia="仿宋_GB2312" w:cs="仿宋_GB2312" w:hint="eastAsia"/>
          <w:sz w:val="32"/>
          <w:szCs w:val="32"/>
        </w:rPr>
        <w:t>人，体检率达到</w:t>
      </w:r>
      <w:r>
        <w:rPr>
          <w:rFonts w:ascii="仿宋_GB2312" w:eastAsia="仿宋_GB2312" w:cs="仿宋_GB2312"/>
          <w:sz w:val="32"/>
          <w:szCs w:val="32"/>
        </w:rPr>
        <w:t xml:space="preserve"> 85.7% </w:t>
      </w:r>
      <w:r>
        <w:rPr>
          <w:rFonts w:ascii="仿宋_GB2312" w:eastAsia="仿宋_GB2312" w:cs="仿宋_GB2312" w:hint="eastAsia"/>
          <w:sz w:val="32"/>
          <w:szCs w:val="32"/>
        </w:rPr>
        <w:t>。中医适宜技术得到推广，中医药服务技术在基层不断普及，中医特色逐渐明显。畲医药列入国家第二批非物质文化遗产保护目录，建立畲族医药数据库，获得一批畲族医药科研成果，出版《中国畲族医药学》，</w:t>
      </w:r>
      <w:r>
        <w:rPr>
          <w:rFonts w:ascii="仿宋_GB2312" w:eastAsia="仿宋_GB2312" w:cs="仿宋_GB2312"/>
          <w:sz w:val="32"/>
          <w:szCs w:val="32"/>
        </w:rPr>
        <w:t>11</w:t>
      </w:r>
      <w:r>
        <w:rPr>
          <w:rFonts w:ascii="仿宋_GB2312" w:eastAsia="仿宋_GB2312" w:cs="仿宋_GB2312" w:hint="eastAsia"/>
          <w:sz w:val="32"/>
          <w:szCs w:val="32"/>
        </w:rPr>
        <w:t>个畲药已被载入《浙江省中药炮制规范》，畲药和畲族养生文化具有一定的代表性。养生养老服务业快速发展，产业模式不断创新。</w:t>
      </w:r>
      <w:r>
        <w:rPr>
          <w:rFonts w:ascii="仿宋_GB2312" w:eastAsia="仿宋_GB2312" w:cs="仿宋_GB2312"/>
          <w:sz w:val="32"/>
          <w:szCs w:val="32"/>
        </w:rPr>
        <w:t>2014</w:t>
      </w:r>
      <w:r>
        <w:rPr>
          <w:rFonts w:ascii="仿宋_GB2312" w:eastAsia="仿宋_GB2312" w:cs="仿宋_GB2312" w:hint="eastAsia"/>
          <w:sz w:val="32"/>
          <w:szCs w:val="32"/>
        </w:rPr>
        <w:t>年补充完善《丽水市生态休闲养生</w:t>
      </w:r>
      <w:r>
        <w:rPr>
          <w:rFonts w:ascii="仿宋_GB2312" w:eastAsia="仿宋_GB2312" w:cs="仿宋_GB2312"/>
          <w:sz w:val="32"/>
          <w:szCs w:val="32"/>
        </w:rPr>
        <w:t>(</w:t>
      </w:r>
      <w:r>
        <w:rPr>
          <w:rFonts w:ascii="仿宋_GB2312" w:eastAsia="仿宋_GB2312" w:cs="仿宋_GB2312" w:hint="eastAsia"/>
          <w:sz w:val="32"/>
          <w:szCs w:val="32"/>
        </w:rPr>
        <w:t>养老</w:t>
      </w:r>
      <w:r>
        <w:rPr>
          <w:rFonts w:ascii="仿宋_GB2312" w:eastAsia="仿宋_GB2312" w:cs="仿宋_GB2312"/>
          <w:sz w:val="32"/>
          <w:szCs w:val="32"/>
        </w:rPr>
        <w:t>)</w:t>
      </w:r>
      <w:r>
        <w:rPr>
          <w:rFonts w:ascii="仿宋_GB2312" w:eastAsia="仿宋_GB2312" w:cs="仿宋_GB2312" w:hint="eastAsia"/>
          <w:sz w:val="32"/>
          <w:szCs w:val="32"/>
        </w:rPr>
        <w:t>项目库</w:t>
      </w:r>
      <w:r>
        <w:rPr>
          <w:rFonts w:ascii="仿宋_GB2312" w:eastAsia="仿宋_GB2312" w:cs="仿宋_GB2312"/>
          <w:sz w:val="32"/>
          <w:szCs w:val="32"/>
        </w:rPr>
        <w:t>(2014-2020)</w:t>
      </w:r>
      <w:r>
        <w:rPr>
          <w:rFonts w:ascii="仿宋_GB2312" w:eastAsia="仿宋_GB2312" w:cs="仿宋_GB2312" w:hint="eastAsia"/>
          <w:sz w:val="32"/>
          <w:szCs w:val="32"/>
        </w:rPr>
        <w:t>》，全市纳入培育计划的旅游景区、养生（养老）基地、养生乡村、养生产业培育等项目共计</w:t>
      </w:r>
      <w:r>
        <w:rPr>
          <w:rFonts w:ascii="仿宋_GB2312" w:eastAsia="仿宋_GB2312" w:cs="仿宋_GB2312"/>
          <w:sz w:val="32"/>
          <w:szCs w:val="32"/>
        </w:rPr>
        <w:t>285</w:t>
      </w:r>
      <w:r>
        <w:rPr>
          <w:rFonts w:ascii="仿宋_GB2312" w:eastAsia="仿宋_GB2312" w:cs="仿宋_GB2312" w:hint="eastAsia"/>
          <w:sz w:val="32"/>
          <w:szCs w:val="32"/>
        </w:rPr>
        <w:t>个，估算总投资</w:t>
      </w:r>
      <w:r>
        <w:rPr>
          <w:rFonts w:ascii="仿宋_GB2312" w:eastAsia="仿宋_GB2312" w:cs="仿宋_GB2312"/>
          <w:sz w:val="32"/>
          <w:szCs w:val="32"/>
        </w:rPr>
        <w:t>1358</w:t>
      </w:r>
      <w:r>
        <w:rPr>
          <w:rFonts w:ascii="仿宋_GB2312" w:eastAsia="仿宋_GB2312" w:cs="仿宋_GB2312" w:hint="eastAsia"/>
          <w:sz w:val="32"/>
          <w:szCs w:val="32"/>
        </w:rPr>
        <w:t>亿元。截至</w:t>
      </w:r>
      <w:r>
        <w:rPr>
          <w:rFonts w:ascii="仿宋_GB2312" w:eastAsia="仿宋_GB2312" w:cs="仿宋_GB2312"/>
          <w:sz w:val="32"/>
          <w:szCs w:val="32"/>
        </w:rPr>
        <w:t>2014</w:t>
      </w:r>
      <w:r>
        <w:rPr>
          <w:rFonts w:ascii="仿宋_GB2312" w:eastAsia="仿宋_GB2312" w:cs="仿宋_GB2312" w:hint="eastAsia"/>
          <w:sz w:val="32"/>
          <w:szCs w:val="32"/>
        </w:rPr>
        <w:t>年，重点实施的“</w:t>
      </w:r>
      <w:r>
        <w:rPr>
          <w:rFonts w:ascii="仿宋_GB2312" w:eastAsia="仿宋_GB2312" w:cs="仿宋_GB2312"/>
          <w:sz w:val="32"/>
          <w:szCs w:val="32"/>
        </w:rPr>
        <w:t>112</w:t>
      </w:r>
      <w:r>
        <w:rPr>
          <w:rFonts w:ascii="仿宋_GB2312" w:eastAsia="仿宋_GB2312" w:cs="仿宋_GB2312" w:hint="eastAsia"/>
          <w:sz w:val="32"/>
          <w:szCs w:val="32"/>
        </w:rPr>
        <w:t>”养生项目建设培育计划已累计完成投资</w:t>
      </w:r>
      <w:r>
        <w:rPr>
          <w:rFonts w:ascii="仿宋_GB2312" w:eastAsia="仿宋_GB2312" w:cs="仿宋_GB2312"/>
          <w:sz w:val="32"/>
          <w:szCs w:val="32"/>
        </w:rPr>
        <w:t>30.6</w:t>
      </w:r>
      <w:r>
        <w:rPr>
          <w:rFonts w:ascii="仿宋_GB2312" w:eastAsia="仿宋_GB2312" w:cs="仿宋_GB2312" w:hint="eastAsia"/>
          <w:sz w:val="32"/>
          <w:szCs w:val="32"/>
        </w:rPr>
        <w:t>亿元，其中，两批</w:t>
      </w:r>
      <w:r>
        <w:rPr>
          <w:rFonts w:ascii="仿宋_GB2312" w:eastAsia="仿宋_GB2312" w:cs="仿宋_GB2312"/>
          <w:sz w:val="32"/>
          <w:szCs w:val="32"/>
        </w:rPr>
        <w:t>20</w:t>
      </w:r>
      <w:r>
        <w:rPr>
          <w:rFonts w:ascii="仿宋_GB2312" w:eastAsia="仿宋_GB2312" w:cs="仿宋_GB2312" w:hint="eastAsia"/>
          <w:sz w:val="32"/>
          <w:szCs w:val="32"/>
        </w:rPr>
        <w:t>个养生</w:t>
      </w:r>
      <w:r>
        <w:rPr>
          <w:rFonts w:ascii="仿宋_GB2312" w:eastAsia="仿宋_GB2312" w:cs="仿宋_GB2312"/>
          <w:sz w:val="32"/>
          <w:szCs w:val="32"/>
        </w:rPr>
        <w:t>(</w:t>
      </w:r>
      <w:r>
        <w:rPr>
          <w:rFonts w:ascii="仿宋_GB2312" w:eastAsia="仿宋_GB2312" w:cs="仿宋_GB2312" w:hint="eastAsia"/>
          <w:sz w:val="32"/>
          <w:szCs w:val="32"/>
        </w:rPr>
        <w:t>养老</w:t>
      </w:r>
      <w:r>
        <w:rPr>
          <w:rFonts w:ascii="仿宋_GB2312" w:eastAsia="仿宋_GB2312" w:cs="仿宋_GB2312"/>
          <w:sz w:val="32"/>
          <w:szCs w:val="32"/>
        </w:rPr>
        <w:t>)</w:t>
      </w:r>
      <w:r>
        <w:rPr>
          <w:rFonts w:ascii="仿宋_GB2312" w:eastAsia="仿宋_GB2312" w:cs="仿宋_GB2312" w:hint="eastAsia"/>
          <w:sz w:val="32"/>
          <w:szCs w:val="32"/>
        </w:rPr>
        <w:t>基地项目累计完成投资</w:t>
      </w:r>
      <w:r>
        <w:rPr>
          <w:rFonts w:ascii="仿宋_GB2312" w:eastAsia="仿宋_GB2312" w:cs="仿宋_GB2312"/>
          <w:sz w:val="32"/>
          <w:szCs w:val="32"/>
        </w:rPr>
        <w:t>20.3</w:t>
      </w:r>
      <w:r>
        <w:rPr>
          <w:rFonts w:ascii="仿宋_GB2312" w:eastAsia="仿宋_GB2312" w:cs="仿宋_GB2312" w:hint="eastAsia"/>
          <w:sz w:val="32"/>
          <w:szCs w:val="32"/>
        </w:rPr>
        <w:t>亿元。着力建设休闲旅游景区、养生</w:t>
      </w:r>
      <w:r>
        <w:rPr>
          <w:rFonts w:ascii="仿宋_GB2312" w:eastAsia="仿宋_GB2312" w:cs="仿宋_GB2312"/>
          <w:sz w:val="32"/>
          <w:szCs w:val="32"/>
        </w:rPr>
        <w:t>(</w:t>
      </w:r>
      <w:r>
        <w:rPr>
          <w:rFonts w:ascii="仿宋_GB2312" w:eastAsia="仿宋_GB2312" w:cs="仿宋_GB2312" w:hint="eastAsia"/>
          <w:sz w:val="32"/>
          <w:szCs w:val="32"/>
        </w:rPr>
        <w:t>养老</w:t>
      </w:r>
      <w:r>
        <w:rPr>
          <w:rFonts w:ascii="仿宋_GB2312" w:eastAsia="仿宋_GB2312" w:cs="仿宋_GB2312"/>
          <w:sz w:val="32"/>
          <w:szCs w:val="32"/>
        </w:rPr>
        <w:t>)</w:t>
      </w:r>
      <w:r>
        <w:rPr>
          <w:rFonts w:ascii="仿宋_GB2312" w:eastAsia="仿宋_GB2312" w:cs="仿宋_GB2312" w:hint="eastAsia"/>
          <w:sz w:val="32"/>
          <w:szCs w:val="32"/>
        </w:rPr>
        <w:t>基地、养生乡村“三大平台”；发展生态休闲旅游业、养生（养老）医疗</w:t>
      </w:r>
      <w:r>
        <w:rPr>
          <w:rFonts w:ascii="仿宋_GB2312" w:eastAsia="仿宋_GB2312" w:cs="仿宋_GB2312" w:hint="eastAsia"/>
          <w:sz w:val="32"/>
          <w:szCs w:val="32"/>
        </w:rPr>
        <w:lastRenderedPageBreak/>
        <w:t>与健康管理业等“八大行业”；培育“食养”“药养”“水养”“体养”“文养”“气养”特色品牌，系统全面推进养生</w:t>
      </w:r>
      <w:r>
        <w:rPr>
          <w:rFonts w:ascii="仿宋_GB2312" w:eastAsia="仿宋_GB2312" w:cs="仿宋_GB2312"/>
          <w:sz w:val="32"/>
          <w:szCs w:val="32"/>
        </w:rPr>
        <w:t>(</w:t>
      </w:r>
      <w:r>
        <w:rPr>
          <w:rFonts w:ascii="仿宋_GB2312" w:eastAsia="仿宋_GB2312" w:cs="仿宋_GB2312" w:hint="eastAsia"/>
          <w:sz w:val="32"/>
          <w:szCs w:val="32"/>
        </w:rPr>
        <w:t>养老</w:t>
      </w:r>
      <w:r>
        <w:rPr>
          <w:rFonts w:ascii="仿宋_GB2312" w:eastAsia="仿宋_GB2312" w:cs="仿宋_GB2312"/>
          <w:sz w:val="32"/>
          <w:szCs w:val="32"/>
        </w:rPr>
        <w:t>)</w:t>
      </w:r>
      <w:r>
        <w:rPr>
          <w:rFonts w:ascii="仿宋_GB2312" w:eastAsia="仿宋_GB2312" w:cs="仿宋_GB2312" w:hint="eastAsia"/>
          <w:sz w:val="32"/>
          <w:szCs w:val="32"/>
        </w:rPr>
        <w:t>产业发展，目前大批养生（养老）基地雏形初显并有序推进。养生</w:t>
      </w:r>
      <w:r>
        <w:rPr>
          <w:rFonts w:ascii="仿宋_GB2312" w:eastAsia="仿宋_GB2312" w:cs="仿宋_GB2312"/>
          <w:sz w:val="32"/>
          <w:szCs w:val="32"/>
        </w:rPr>
        <w:t>(</w:t>
      </w:r>
      <w:r>
        <w:rPr>
          <w:rFonts w:ascii="仿宋_GB2312" w:eastAsia="仿宋_GB2312" w:cs="仿宋_GB2312" w:hint="eastAsia"/>
          <w:sz w:val="32"/>
          <w:szCs w:val="32"/>
        </w:rPr>
        <w:t>养老</w:t>
      </w:r>
      <w:r>
        <w:rPr>
          <w:rFonts w:ascii="仿宋_GB2312" w:eastAsia="仿宋_GB2312" w:cs="仿宋_GB2312"/>
          <w:sz w:val="32"/>
          <w:szCs w:val="32"/>
        </w:rPr>
        <w:t>)</w:t>
      </w:r>
      <w:r>
        <w:rPr>
          <w:rFonts w:ascii="仿宋_GB2312" w:eastAsia="仿宋_GB2312" w:cs="仿宋_GB2312" w:hint="eastAsia"/>
          <w:sz w:val="32"/>
          <w:szCs w:val="32"/>
        </w:rPr>
        <w:t>行业标准研究取得突破，生态休闲养生</w:t>
      </w:r>
      <w:r>
        <w:rPr>
          <w:rFonts w:ascii="仿宋_GB2312" w:eastAsia="仿宋_GB2312" w:cs="仿宋_GB2312"/>
          <w:sz w:val="32"/>
          <w:szCs w:val="32"/>
        </w:rPr>
        <w:t>(</w:t>
      </w:r>
      <w:r>
        <w:rPr>
          <w:rFonts w:ascii="仿宋_GB2312" w:eastAsia="仿宋_GB2312" w:cs="仿宋_GB2312" w:hint="eastAsia"/>
          <w:sz w:val="32"/>
          <w:szCs w:val="32"/>
        </w:rPr>
        <w:t>养老</w:t>
      </w:r>
      <w:r>
        <w:rPr>
          <w:rFonts w:ascii="仿宋_GB2312" w:eastAsia="仿宋_GB2312" w:cs="仿宋_GB2312"/>
          <w:sz w:val="32"/>
          <w:szCs w:val="32"/>
        </w:rPr>
        <w:t>)</w:t>
      </w:r>
      <w:r>
        <w:rPr>
          <w:rFonts w:ascii="仿宋_GB2312" w:eastAsia="仿宋_GB2312" w:cs="仿宋_GB2312" w:hint="eastAsia"/>
          <w:sz w:val="32"/>
          <w:szCs w:val="32"/>
        </w:rPr>
        <w:t>基地建设规范和运营服务规范以及“食养、药养、水养、体养、文养”等7项丽水特色的养生行业规范编制完成并成为地方标准发布实施，填补了国内该标准化领域研究的空白。养生乡村建设成绩斐然，截止2014年，全市共评定两批67个养生乡村，其中首批</w:t>
      </w:r>
      <w:r>
        <w:rPr>
          <w:rFonts w:ascii="仿宋_GB2312" w:eastAsia="仿宋_GB2312" w:cs="仿宋_GB2312"/>
          <w:sz w:val="32"/>
          <w:szCs w:val="32"/>
        </w:rPr>
        <w:t>27</w:t>
      </w:r>
      <w:r>
        <w:rPr>
          <w:rFonts w:ascii="仿宋_GB2312" w:eastAsia="仿宋_GB2312" w:cs="仿宋_GB2312" w:hint="eastAsia"/>
          <w:sz w:val="32"/>
          <w:szCs w:val="32"/>
        </w:rPr>
        <w:t>个养生乡村全年完成改造经费投入</w:t>
      </w:r>
      <w:r>
        <w:rPr>
          <w:rFonts w:ascii="仿宋_GB2312" w:eastAsia="仿宋_GB2312" w:cs="仿宋_GB2312"/>
          <w:sz w:val="32"/>
          <w:szCs w:val="32"/>
        </w:rPr>
        <w:t>1.2</w:t>
      </w:r>
      <w:r>
        <w:rPr>
          <w:rFonts w:ascii="仿宋_GB2312" w:eastAsia="仿宋_GB2312" w:cs="仿宋_GB2312" w:hint="eastAsia"/>
          <w:sz w:val="32"/>
          <w:szCs w:val="32"/>
        </w:rPr>
        <w:t>亿元，游客接待量达</w:t>
      </w:r>
      <w:r>
        <w:rPr>
          <w:rFonts w:ascii="仿宋_GB2312" w:eastAsia="仿宋_GB2312" w:cs="仿宋_GB2312"/>
          <w:sz w:val="32"/>
          <w:szCs w:val="32"/>
        </w:rPr>
        <w:t>270</w:t>
      </w:r>
      <w:r>
        <w:rPr>
          <w:rFonts w:ascii="仿宋_GB2312" w:eastAsia="仿宋_GB2312" w:cs="仿宋_GB2312" w:hint="eastAsia"/>
          <w:sz w:val="32"/>
          <w:szCs w:val="32"/>
        </w:rPr>
        <w:t>余万人次，总收入</w:t>
      </w:r>
      <w:r>
        <w:rPr>
          <w:rFonts w:ascii="仿宋_GB2312" w:eastAsia="仿宋_GB2312" w:cs="仿宋_GB2312"/>
          <w:sz w:val="32"/>
          <w:szCs w:val="32"/>
        </w:rPr>
        <w:t>2.2</w:t>
      </w:r>
      <w:r>
        <w:rPr>
          <w:rFonts w:ascii="仿宋_GB2312" w:eastAsia="仿宋_GB2312" w:cs="仿宋_GB2312" w:hint="eastAsia"/>
          <w:sz w:val="32"/>
          <w:szCs w:val="32"/>
        </w:rPr>
        <w:t>亿元，吸引了大批游客前来休闲、度假、避暑、养生。庆元县月山村入选中国最美休闲乡村（特色民俗村类），遂昌高坪杜鹃花景观和云和梯田入选中国美丽田园（花卉景观类和梯田景观类）。</w:t>
      </w:r>
      <w:r>
        <w:rPr>
          <w:rFonts w:ascii="仿宋_GB2312" w:eastAsia="仿宋_GB2312" w:cs="仿宋_GB2312"/>
          <w:sz w:val="32"/>
          <w:szCs w:val="32"/>
        </w:rPr>
        <w:t>2015</w:t>
      </w:r>
      <w:r>
        <w:rPr>
          <w:rFonts w:ascii="仿宋_GB2312" w:eastAsia="仿宋_GB2312" w:cs="仿宋_GB2312" w:hint="eastAsia"/>
          <w:sz w:val="32"/>
          <w:szCs w:val="32"/>
        </w:rPr>
        <w:t>年底丽水高铁开通，服务半径扩大将给养生养老产业注入新活力，丽水正向绿富美的养生养老之城迈进。</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10" w:name="_Toc415615269"/>
      <w:bookmarkStart w:id="11" w:name="_Toc32458"/>
      <w:r>
        <w:rPr>
          <w:rFonts w:ascii="仿宋_GB2312" w:eastAsia="仿宋_GB2312" w:cs="仿宋_GB2312" w:hint="eastAsia"/>
        </w:rPr>
        <w:t>（三）</w:t>
      </w:r>
      <w:bookmarkEnd w:id="10"/>
      <w:r>
        <w:rPr>
          <w:rFonts w:ascii="仿宋_GB2312" w:eastAsia="仿宋_GB2312" w:cs="仿宋_GB2312" w:hint="eastAsia"/>
        </w:rPr>
        <w:t>面临的挑战</w:t>
      </w:r>
      <w:bookmarkEnd w:id="11"/>
    </w:p>
    <w:p w:rsidR="00195273" w:rsidRDefault="004F4DE5" w:rsidP="0013485A">
      <w:pPr>
        <w:pStyle w:val="3"/>
        <w:widowControl/>
        <w:spacing w:before="0" w:after="0" w:line="540" w:lineRule="exact"/>
        <w:ind w:firstLineChars="200" w:firstLine="643"/>
        <w:rPr>
          <w:rFonts w:ascii="仿宋_GB2312" w:eastAsia="仿宋_GB2312" w:cs="Times New Roman"/>
        </w:rPr>
      </w:pPr>
      <w:bookmarkStart w:id="12" w:name="_Toc415615270"/>
      <w:r>
        <w:rPr>
          <w:rFonts w:ascii="仿宋_GB2312" w:eastAsia="仿宋_GB2312" w:cs="仿宋_GB2312"/>
        </w:rPr>
        <w:t>1</w:t>
      </w:r>
      <w:r>
        <w:rPr>
          <w:rFonts w:ascii="仿宋_GB2312" w:eastAsia="仿宋_GB2312" w:cs="仿宋_GB2312" w:hint="eastAsia"/>
        </w:rPr>
        <w:t>．健康产业规模不足，结构不合理</w:t>
      </w:r>
      <w:bookmarkEnd w:id="12"/>
    </w:p>
    <w:p w:rsidR="00195273" w:rsidRDefault="004F4DE5" w:rsidP="0013485A">
      <w:pPr>
        <w:pStyle w:val="ListParagraph1"/>
        <w:spacing w:line="540" w:lineRule="exact"/>
        <w:ind w:firstLine="640"/>
        <w:rPr>
          <w:rFonts w:ascii="仿宋_GB2312" w:eastAsia="仿宋_GB2312" w:cs="Times New Roman"/>
          <w:sz w:val="32"/>
          <w:szCs w:val="32"/>
        </w:rPr>
      </w:pPr>
      <w:r>
        <w:rPr>
          <w:rFonts w:ascii="仿宋_GB2312" w:eastAsia="仿宋_GB2312" w:cs="仿宋_GB2312" w:hint="eastAsia"/>
          <w:sz w:val="32"/>
          <w:szCs w:val="32"/>
        </w:rPr>
        <w:t>我市健康产业虽有一定的产业基础，但产业规模总量偏小。</w:t>
      </w:r>
      <w:r>
        <w:rPr>
          <w:rFonts w:ascii="仿宋_GB2312" w:eastAsia="仿宋_GB2312" w:cs="仿宋_GB2312"/>
          <w:sz w:val="32"/>
          <w:szCs w:val="32"/>
        </w:rPr>
        <w:t>2014</w:t>
      </w:r>
      <w:r>
        <w:rPr>
          <w:rFonts w:ascii="仿宋_GB2312" w:eastAsia="仿宋_GB2312" w:cs="仿宋_GB2312" w:hint="eastAsia"/>
          <w:sz w:val="32"/>
          <w:szCs w:val="32"/>
        </w:rPr>
        <w:t>年规模以上医药制造业总产值仅占全市生产总值的</w:t>
      </w:r>
      <w:r>
        <w:rPr>
          <w:rFonts w:ascii="仿宋_GB2312" w:eastAsia="仿宋_GB2312" w:cs="仿宋_GB2312"/>
          <w:sz w:val="32"/>
          <w:szCs w:val="32"/>
        </w:rPr>
        <w:t>2.29%</w:t>
      </w:r>
      <w:r>
        <w:rPr>
          <w:rFonts w:ascii="仿宋_GB2312" w:eastAsia="仿宋_GB2312" w:cs="仿宋_GB2312" w:hint="eastAsia"/>
          <w:sz w:val="32"/>
          <w:szCs w:val="32"/>
        </w:rPr>
        <w:t>，包括健康服务业在内的第三产业增加值仅占全市生产总值的</w:t>
      </w:r>
      <w:r>
        <w:rPr>
          <w:rFonts w:ascii="仿宋_GB2312" w:eastAsia="仿宋_GB2312" w:cs="仿宋_GB2312"/>
          <w:sz w:val="32"/>
          <w:szCs w:val="32"/>
        </w:rPr>
        <w:t>38.11%</w:t>
      </w:r>
      <w:r>
        <w:rPr>
          <w:rFonts w:ascii="仿宋_GB2312" w:eastAsia="仿宋_GB2312" w:cs="仿宋_GB2312" w:hint="eastAsia"/>
          <w:sz w:val="32"/>
          <w:szCs w:val="32"/>
        </w:rPr>
        <w:t>，总体上低于许多发展中国家，规模经济效应尚显不足，健康产业总量提升空间巨大。依托生态优势我市着力发展健康养生养老与健康旅游产业并形成一枝独秀，而需求日益增加的中医药医疗保健、健康保险、健康管理、健康信息及文化等产业则刚刚起步，产业服务能力与全市健康需求存在较大差距，企业梯队建设与产业集群发展有待完善，健康产业链关联度较底，高附加值产业链尚未形成，产业化程度不够，技术突破和模式创新任重道远。</w:t>
      </w:r>
    </w:p>
    <w:p w:rsidR="00195273" w:rsidRDefault="004F4DE5" w:rsidP="0013485A">
      <w:pPr>
        <w:pStyle w:val="3"/>
        <w:widowControl/>
        <w:spacing w:before="0" w:after="0" w:line="540" w:lineRule="exact"/>
        <w:ind w:firstLineChars="200" w:firstLine="643"/>
        <w:rPr>
          <w:rFonts w:ascii="仿宋_GB2312" w:eastAsia="仿宋_GB2312" w:cs="Times New Roman"/>
        </w:rPr>
      </w:pPr>
      <w:bookmarkStart w:id="13" w:name="_Toc415615271"/>
      <w:r>
        <w:rPr>
          <w:rFonts w:ascii="仿宋_GB2312" w:eastAsia="仿宋_GB2312" w:cs="仿宋_GB2312"/>
        </w:rPr>
        <w:lastRenderedPageBreak/>
        <w:t>2</w:t>
      </w:r>
      <w:r>
        <w:rPr>
          <w:rFonts w:ascii="仿宋_GB2312" w:eastAsia="仿宋_GB2312" w:cs="仿宋_GB2312" w:hint="eastAsia"/>
        </w:rPr>
        <w:t>．健康产业市场体系尚未形成</w:t>
      </w:r>
      <w:bookmarkEnd w:id="13"/>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t>健康产业缺乏统一的行业标准，健康管理服务系统和运营模式尚未建立。在健康维护、健康产品、服务模式、运行模式、服务范围上没有明确的行业界定，行业审批与管理主体不明确，多头管理与缺位错位现象并存，制约了整个行业发展。政策支持不够，缺乏明确的政策支持和引导，相关的政策法规几乎没有，健康产业监管体系尚处于空白。健康产业专业人才严重不足，整体服务水平低下，现有从业人员的专业知识、学历层次、技术水平均达不到行业要求，健康管理和服务仍处于市场探索阶段，没有统一的服务系统，还无法对客户提供整套健康解决方案。健康信息与保险等尚未起步。</w:t>
      </w:r>
    </w:p>
    <w:p w:rsidR="00195273" w:rsidRDefault="004F4DE5" w:rsidP="0013485A">
      <w:pPr>
        <w:pStyle w:val="3"/>
        <w:widowControl/>
        <w:spacing w:before="0" w:after="0" w:line="540" w:lineRule="exact"/>
        <w:ind w:firstLineChars="200" w:firstLine="643"/>
        <w:rPr>
          <w:rFonts w:ascii="仿宋_GB2312" w:eastAsia="仿宋_GB2312" w:cs="Times New Roman"/>
        </w:rPr>
      </w:pPr>
      <w:bookmarkStart w:id="14" w:name="_Toc415615272"/>
      <w:r>
        <w:rPr>
          <w:rFonts w:ascii="仿宋_GB2312" w:eastAsia="仿宋_GB2312" w:cs="仿宋_GB2312"/>
        </w:rPr>
        <w:t>3</w:t>
      </w:r>
      <w:r>
        <w:rPr>
          <w:rFonts w:ascii="仿宋_GB2312" w:eastAsia="仿宋_GB2312" w:cs="仿宋_GB2312" w:hint="eastAsia"/>
        </w:rPr>
        <w:t>．健康产业资本结构不合理，社会资本偏小</w:t>
      </w:r>
      <w:bookmarkEnd w:id="14"/>
    </w:p>
    <w:p w:rsidR="00195273" w:rsidRDefault="004F4DE5" w:rsidP="0013485A">
      <w:pPr>
        <w:pStyle w:val="ListParagraph1"/>
        <w:spacing w:line="540" w:lineRule="exact"/>
        <w:ind w:firstLine="640"/>
        <w:rPr>
          <w:rFonts w:ascii="仿宋_GB2312" w:eastAsia="仿宋_GB2312" w:cs="仿宋_GB2312"/>
          <w:sz w:val="32"/>
          <w:szCs w:val="32"/>
        </w:rPr>
      </w:pPr>
      <w:r>
        <w:rPr>
          <w:rFonts w:ascii="仿宋_GB2312" w:eastAsia="仿宋_GB2312" w:cs="仿宋_GB2312" w:hint="eastAsia"/>
          <w:sz w:val="32"/>
          <w:szCs w:val="32"/>
        </w:rPr>
        <w:t>健康产业属于新兴朝阳产业，对优化我市产业结构、提升我市产业竞争力具有战略意义。资本是产业发展的血液，广泛利用社会资本是推动我市健康产业快速发展的关键因素。但目前我市健康产业资本来源不足，融资渠道不畅，资本结构不合理阻碍了健康产业的健康发展。公立医院综合改革有待进一步深化，我市医疗单位仍以国有资本为主体，社会资本举办医疗机构服务能力不强和规模较小，多元办医格局形成缓慢。</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15" w:name="_Toc415615273"/>
      <w:bookmarkStart w:id="16" w:name="_Toc19392"/>
      <w:r>
        <w:rPr>
          <w:rFonts w:ascii="仿宋_GB2312" w:eastAsia="仿宋_GB2312" w:cs="仿宋_GB2312" w:hint="eastAsia"/>
        </w:rPr>
        <w:t>（四）面临形势</w:t>
      </w:r>
      <w:bookmarkEnd w:id="15"/>
      <w:r>
        <w:rPr>
          <w:rFonts w:ascii="仿宋_GB2312" w:eastAsia="仿宋_GB2312" w:cs="仿宋_GB2312" w:hint="eastAsia"/>
        </w:rPr>
        <w:t>与机遇</w:t>
      </w:r>
      <w:bookmarkEnd w:id="16"/>
    </w:p>
    <w:p w:rsidR="00195273" w:rsidRDefault="004F4DE5" w:rsidP="0013485A">
      <w:pPr>
        <w:pStyle w:val="3"/>
        <w:widowControl/>
        <w:spacing w:before="0" w:after="0" w:line="540" w:lineRule="exact"/>
        <w:ind w:firstLineChars="200" w:firstLine="643"/>
        <w:rPr>
          <w:rFonts w:ascii="仿宋_GB2312" w:eastAsia="仿宋_GB2312" w:cs="Times New Roman"/>
        </w:rPr>
      </w:pPr>
      <w:bookmarkStart w:id="17" w:name="_Toc415615274"/>
      <w:r>
        <w:rPr>
          <w:rFonts w:ascii="仿宋_GB2312" w:eastAsia="仿宋_GB2312" w:cs="仿宋_GB2312"/>
        </w:rPr>
        <w:t>1</w:t>
      </w:r>
      <w:r>
        <w:rPr>
          <w:rFonts w:ascii="仿宋_GB2312" w:eastAsia="仿宋_GB2312" w:cs="仿宋_GB2312" w:hint="eastAsia"/>
        </w:rPr>
        <w:t>．经济新常态催生新的产业革命</w:t>
      </w:r>
      <w:bookmarkEnd w:id="17"/>
    </w:p>
    <w:p w:rsidR="00195273" w:rsidRDefault="004F4DE5" w:rsidP="0013485A">
      <w:pPr>
        <w:pStyle w:val="ListParagraph1"/>
        <w:spacing w:line="540" w:lineRule="exact"/>
        <w:ind w:firstLine="640"/>
        <w:rPr>
          <w:rFonts w:ascii="仿宋_GB2312" w:eastAsia="仿宋_GB2312" w:cs="Times New Roman"/>
          <w:sz w:val="32"/>
          <w:szCs w:val="32"/>
        </w:rPr>
      </w:pPr>
      <w:r>
        <w:rPr>
          <w:rFonts w:ascii="仿宋_GB2312" w:eastAsia="仿宋_GB2312" w:cs="仿宋_GB2312" w:hint="eastAsia"/>
          <w:sz w:val="32"/>
          <w:szCs w:val="32"/>
        </w:rPr>
        <w:t>新常态背景下产业升级与创新驱动发展成为我市适应新常态、引领新常态的战略举措。丽水地处浙南山区，工业基础薄弱，产业集聚效应与规模效应不明显，制造业产业竞争力远远落后于省内其他地区，地区生产总值全省排名一直落后，</w:t>
      </w:r>
      <w:r>
        <w:rPr>
          <w:rFonts w:ascii="仿宋_GB2312" w:eastAsia="仿宋_GB2312" w:cs="仿宋_GB2312"/>
          <w:sz w:val="32"/>
          <w:szCs w:val="32"/>
        </w:rPr>
        <w:t>2014</w:t>
      </w:r>
      <w:r>
        <w:rPr>
          <w:rFonts w:ascii="仿宋_GB2312" w:eastAsia="仿宋_GB2312" w:cs="仿宋_GB2312" w:hint="eastAsia"/>
          <w:sz w:val="32"/>
          <w:szCs w:val="32"/>
        </w:rPr>
        <w:t>年虽然突破千亿元大关（</w:t>
      </w:r>
      <w:r>
        <w:rPr>
          <w:rFonts w:ascii="仿宋_GB2312" w:eastAsia="仿宋_GB2312" w:cs="仿宋_GB2312"/>
          <w:sz w:val="32"/>
          <w:szCs w:val="32"/>
        </w:rPr>
        <w:t>1051</w:t>
      </w:r>
      <w:r>
        <w:rPr>
          <w:rFonts w:ascii="仿宋_GB2312" w:eastAsia="仿宋_GB2312" w:cs="仿宋_GB2312" w:hint="eastAsia"/>
          <w:sz w:val="32"/>
          <w:szCs w:val="32"/>
        </w:rPr>
        <w:t>亿元），但也仅胜于舟山（</w:t>
      </w:r>
      <w:r>
        <w:rPr>
          <w:rFonts w:ascii="仿宋_GB2312" w:eastAsia="仿宋_GB2312" w:cs="仿宋_GB2312"/>
          <w:sz w:val="32"/>
          <w:szCs w:val="32"/>
        </w:rPr>
        <w:t>1021.66</w:t>
      </w:r>
      <w:r>
        <w:rPr>
          <w:rFonts w:ascii="仿宋_GB2312" w:eastAsia="仿宋_GB2312" w:cs="仿宋_GB2312" w:hint="eastAsia"/>
          <w:sz w:val="32"/>
          <w:szCs w:val="32"/>
        </w:rPr>
        <w:t>亿元），全省排名倒数第二，而</w:t>
      </w:r>
      <w:r>
        <w:rPr>
          <w:rFonts w:ascii="仿宋_GB2312" w:eastAsia="仿宋_GB2312" w:cs="仿宋_GB2312"/>
          <w:sz w:val="32"/>
          <w:szCs w:val="32"/>
        </w:rPr>
        <w:t>2014</w:t>
      </w:r>
      <w:r>
        <w:rPr>
          <w:rFonts w:ascii="仿宋_GB2312" w:eastAsia="仿宋_GB2312" w:cs="仿宋_GB2312" w:hint="eastAsia"/>
          <w:sz w:val="32"/>
          <w:szCs w:val="32"/>
        </w:rPr>
        <w:t>年的第三产业增加值（</w:t>
      </w:r>
      <w:r>
        <w:rPr>
          <w:rFonts w:ascii="仿宋_GB2312" w:eastAsia="仿宋_GB2312" w:cs="仿宋_GB2312"/>
          <w:sz w:val="32"/>
          <w:szCs w:val="32"/>
        </w:rPr>
        <w:t>453.07</w:t>
      </w:r>
      <w:r>
        <w:rPr>
          <w:rFonts w:ascii="仿宋_GB2312" w:eastAsia="仿宋_GB2312" w:cs="仿宋_GB2312" w:hint="eastAsia"/>
          <w:sz w:val="32"/>
          <w:szCs w:val="32"/>
        </w:rPr>
        <w:t>亿元）位居全省</w:t>
      </w:r>
      <w:r>
        <w:rPr>
          <w:rFonts w:ascii="仿宋_GB2312" w:eastAsia="仿宋_GB2312" w:cs="仿宋_GB2312" w:hint="eastAsia"/>
          <w:sz w:val="32"/>
          <w:szCs w:val="32"/>
        </w:rPr>
        <w:lastRenderedPageBreak/>
        <w:t>倒数第一。在此形势下我市的比较优势和根本出路就是大力培育开发生态资本，着力发展以生态资本为核心的各产业集群，全力打造生态资本产业链。我市健康产业就是充分发挥生态资本比较优势的新兴产业，应尽早布局产业培育计划，打造可持续发展的产业竞争力，实现超越、持续、创新发展，抢占未来经济发展的制高点。健康产业具有知识密集、技术先进、绿色低碳、前景广阔等特点，大力发展健康产业是实现我市经济由内需和外需共同拉动、战略性新兴产业和现代服务业双轮驱动的重要路径，是满足社会公众日益增长的健康需求、建设秀山丽水、促进社会和谐的必然选择。</w:t>
      </w:r>
    </w:p>
    <w:p w:rsidR="00195273" w:rsidRDefault="004F4DE5" w:rsidP="0013485A">
      <w:pPr>
        <w:pStyle w:val="3"/>
        <w:widowControl/>
        <w:spacing w:before="0" w:after="0" w:line="540" w:lineRule="exact"/>
        <w:ind w:firstLineChars="200" w:firstLine="643"/>
        <w:rPr>
          <w:rFonts w:ascii="仿宋_GB2312" w:eastAsia="仿宋_GB2312" w:cs="Times New Roman"/>
        </w:rPr>
      </w:pPr>
      <w:bookmarkStart w:id="18" w:name="_Toc415615275"/>
      <w:r>
        <w:rPr>
          <w:rFonts w:ascii="仿宋_GB2312" w:eastAsia="仿宋_GB2312" w:cs="仿宋_GB2312"/>
        </w:rPr>
        <w:t>2</w:t>
      </w:r>
      <w:r>
        <w:rPr>
          <w:rFonts w:ascii="仿宋_GB2312" w:eastAsia="仿宋_GB2312" w:cs="仿宋_GB2312" w:hint="eastAsia"/>
        </w:rPr>
        <w:t>．健康产业成为全球未来竞争新领域</w:t>
      </w:r>
      <w:bookmarkEnd w:id="18"/>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t>健康产业正成为全球备受关注的焦点，世界主要发达国家和新兴经济体纷纷部署发展健康产业，从战略层面强力推动生物经济与健康产业发展。欧盟、美国、日本等国家和地区制定相关战略规划、行动计划，推动健康产业发展，提升国民健康水平。</w:t>
      </w:r>
      <w:r>
        <w:rPr>
          <w:rFonts w:ascii="仿宋_GB2312" w:eastAsia="仿宋_GB2312" w:hAnsi="Calibri" w:cs="仿宋_GB2312"/>
          <w:color w:val="auto"/>
          <w:kern w:val="2"/>
          <w:sz w:val="32"/>
          <w:szCs w:val="32"/>
        </w:rPr>
        <w:t>2013</w:t>
      </w:r>
      <w:r>
        <w:rPr>
          <w:rFonts w:ascii="仿宋_GB2312" w:eastAsia="仿宋_GB2312" w:hAnsi="Calibri" w:cs="仿宋_GB2312" w:hint="eastAsia"/>
          <w:color w:val="auto"/>
          <w:kern w:val="2"/>
          <w:sz w:val="32"/>
          <w:szCs w:val="32"/>
        </w:rPr>
        <w:t>年</w:t>
      </w:r>
      <w:r>
        <w:rPr>
          <w:rFonts w:ascii="仿宋_GB2312" w:eastAsia="仿宋_GB2312" w:hAnsi="Calibri" w:cs="仿宋_GB2312"/>
          <w:color w:val="auto"/>
          <w:kern w:val="2"/>
          <w:sz w:val="32"/>
          <w:szCs w:val="32"/>
        </w:rPr>
        <w:t>9</w:t>
      </w:r>
      <w:r>
        <w:rPr>
          <w:rFonts w:ascii="仿宋_GB2312" w:eastAsia="仿宋_GB2312" w:hAnsi="Calibri" w:cs="仿宋_GB2312" w:hint="eastAsia"/>
          <w:color w:val="auto"/>
          <w:kern w:val="2"/>
          <w:sz w:val="32"/>
          <w:szCs w:val="32"/>
        </w:rPr>
        <w:t>月国务院正式印发《关于促进健康服务业发展的若干意见》，国内诸多省市也竞相开展健康产业战略布局，努力抢占发展先机。</w:t>
      </w:r>
      <w:r>
        <w:rPr>
          <w:rFonts w:ascii="仿宋_GB2312" w:eastAsia="仿宋_GB2312" w:hAnsi="Calibri" w:cs="仿宋_GB2312"/>
          <w:color w:val="auto"/>
          <w:kern w:val="2"/>
          <w:sz w:val="32"/>
          <w:szCs w:val="32"/>
        </w:rPr>
        <w:t>2014</w:t>
      </w:r>
      <w:r>
        <w:rPr>
          <w:rFonts w:ascii="仿宋_GB2312" w:eastAsia="仿宋_GB2312" w:hAnsi="Calibri" w:cs="仿宋_GB2312" w:hint="eastAsia"/>
          <w:color w:val="auto"/>
          <w:kern w:val="2"/>
          <w:sz w:val="32"/>
          <w:szCs w:val="32"/>
        </w:rPr>
        <w:t>年</w:t>
      </w:r>
      <w:r>
        <w:rPr>
          <w:rFonts w:ascii="仿宋_GB2312" w:eastAsia="仿宋_GB2312" w:hAnsi="Calibri" w:cs="仿宋_GB2312"/>
          <w:color w:val="auto"/>
          <w:kern w:val="2"/>
          <w:sz w:val="32"/>
          <w:szCs w:val="32"/>
        </w:rPr>
        <w:t>5</w:t>
      </w:r>
      <w:r>
        <w:rPr>
          <w:rFonts w:ascii="仿宋_GB2312" w:eastAsia="仿宋_GB2312" w:hAnsi="Calibri" w:cs="仿宋_GB2312" w:hint="eastAsia"/>
          <w:color w:val="auto"/>
          <w:kern w:val="2"/>
          <w:sz w:val="32"/>
          <w:szCs w:val="32"/>
        </w:rPr>
        <w:t>月浙江省发布《关于促进健康服务业发展的实施意见》，提出建设“健康浙江”发展战略，为我市加快发展健康产业带来了契机。</w:t>
      </w:r>
    </w:p>
    <w:p w:rsidR="00195273" w:rsidRDefault="004F4DE5" w:rsidP="0013485A">
      <w:pPr>
        <w:pStyle w:val="3"/>
        <w:widowControl/>
        <w:spacing w:before="0" w:after="0" w:line="540" w:lineRule="exact"/>
        <w:ind w:firstLineChars="200" w:firstLine="643"/>
        <w:rPr>
          <w:rFonts w:ascii="仿宋_GB2312" w:eastAsia="仿宋_GB2312" w:cs="Times New Roman"/>
        </w:rPr>
      </w:pPr>
      <w:bookmarkStart w:id="19" w:name="_Toc415615276"/>
      <w:r>
        <w:rPr>
          <w:rFonts w:ascii="仿宋_GB2312" w:eastAsia="仿宋_GB2312" w:cs="仿宋_GB2312"/>
        </w:rPr>
        <w:t>3</w:t>
      </w:r>
      <w:r>
        <w:rPr>
          <w:rFonts w:ascii="仿宋_GB2312" w:eastAsia="仿宋_GB2312" w:cs="仿宋_GB2312" w:hint="eastAsia"/>
        </w:rPr>
        <w:t>．健康需求与技术突破推动健康产业崛起</w:t>
      </w:r>
      <w:bookmarkEnd w:id="19"/>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t>需求创造供给。随着经济水平的逐步提高、健康意识的整体增强、生活方式的全面改进以及人口老龄化的不断加速，人们对健康产品和服务的需求急剧增长。当前，美国、法国和德国的健康消费支出占</w:t>
      </w:r>
      <w:r>
        <w:rPr>
          <w:rFonts w:ascii="仿宋_GB2312" w:eastAsia="仿宋_GB2312" w:hAnsi="Calibri" w:cs="仿宋_GB2312"/>
          <w:color w:val="auto"/>
          <w:kern w:val="2"/>
          <w:sz w:val="32"/>
          <w:szCs w:val="32"/>
        </w:rPr>
        <w:t>GDP</w:t>
      </w:r>
      <w:r>
        <w:rPr>
          <w:rFonts w:ascii="仿宋_GB2312" w:eastAsia="仿宋_GB2312" w:hAnsi="Calibri" w:cs="仿宋_GB2312" w:hint="eastAsia"/>
          <w:color w:val="auto"/>
          <w:kern w:val="2"/>
          <w:sz w:val="32"/>
          <w:szCs w:val="32"/>
        </w:rPr>
        <w:t>比重均超过</w:t>
      </w:r>
      <w:r>
        <w:rPr>
          <w:rFonts w:ascii="仿宋_GB2312" w:eastAsia="仿宋_GB2312" w:hAnsi="Calibri" w:cs="仿宋_GB2312"/>
          <w:color w:val="auto"/>
          <w:kern w:val="2"/>
          <w:sz w:val="32"/>
          <w:szCs w:val="32"/>
        </w:rPr>
        <w:t>10%</w:t>
      </w:r>
      <w:r>
        <w:rPr>
          <w:rFonts w:ascii="仿宋_GB2312" w:eastAsia="仿宋_GB2312" w:hAnsi="Calibri" w:cs="仿宋_GB2312" w:hint="eastAsia"/>
          <w:color w:val="auto"/>
          <w:kern w:val="2"/>
          <w:sz w:val="32"/>
          <w:szCs w:val="32"/>
        </w:rPr>
        <w:t>，英国、日本、澳大利亚在</w:t>
      </w:r>
      <w:r>
        <w:rPr>
          <w:rFonts w:ascii="仿宋_GB2312" w:eastAsia="仿宋_GB2312" w:hAnsi="Calibri" w:cs="仿宋_GB2312"/>
          <w:color w:val="auto"/>
          <w:kern w:val="2"/>
          <w:sz w:val="32"/>
          <w:szCs w:val="32"/>
        </w:rPr>
        <w:t>10%</w:t>
      </w:r>
      <w:r>
        <w:rPr>
          <w:rFonts w:ascii="仿宋_GB2312" w:eastAsia="仿宋_GB2312" w:hAnsi="Calibri" w:cs="仿宋_GB2312" w:hint="eastAsia"/>
          <w:color w:val="auto"/>
          <w:kern w:val="2"/>
          <w:sz w:val="32"/>
          <w:szCs w:val="32"/>
        </w:rPr>
        <w:t>左右。与发达国家相比，我国健康产业规模仍然较小，占</w:t>
      </w:r>
      <w:r>
        <w:rPr>
          <w:rFonts w:ascii="仿宋_GB2312" w:eastAsia="仿宋_GB2312" w:hAnsi="Calibri" w:cs="仿宋_GB2312"/>
          <w:color w:val="auto"/>
          <w:kern w:val="2"/>
          <w:sz w:val="32"/>
          <w:szCs w:val="32"/>
        </w:rPr>
        <w:t>GDP</w:t>
      </w:r>
      <w:r>
        <w:rPr>
          <w:rFonts w:ascii="仿宋_GB2312" w:eastAsia="仿宋_GB2312" w:hAnsi="Calibri" w:cs="仿宋_GB2312" w:hint="eastAsia"/>
          <w:color w:val="auto"/>
          <w:kern w:val="2"/>
          <w:sz w:val="32"/>
          <w:szCs w:val="32"/>
        </w:rPr>
        <w:t>比重不足</w:t>
      </w:r>
      <w:r>
        <w:rPr>
          <w:rFonts w:ascii="仿宋_GB2312" w:eastAsia="仿宋_GB2312" w:hAnsi="Calibri" w:cs="仿宋_GB2312"/>
          <w:color w:val="auto"/>
          <w:kern w:val="2"/>
          <w:sz w:val="32"/>
          <w:szCs w:val="32"/>
        </w:rPr>
        <w:t>5%</w:t>
      </w:r>
      <w:r>
        <w:rPr>
          <w:rFonts w:ascii="仿宋_GB2312" w:eastAsia="仿宋_GB2312" w:hAnsi="Calibri" w:cs="仿宋_GB2312" w:hint="eastAsia"/>
          <w:color w:val="auto"/>
          <w:kern w:val="2"/>
          <w:sz w:val="32"/>
          <w:szCs w:val="32"/>
        </w:rPr>
        <w:t>，健康需求正由“温饱型”向“小康型”加速转变，健康产业在我国具有广阔的发展空间。</w:t>
      </w:r>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lastRenderedPageBreak/>
        <w:t>技术突破和模式创新孕育健康产业新机遇。当前生命科学研究、生物技术发展不断取得重大突破，全基因组检测与基因治疗、干细胞治疗、</w:t>
      </w:r>
      <w:r>
        <w:rPr>
          <w:rFonts w:ascii="仿宋_GB2312" w:eastAsia="仿宋_GB2312" w:hAnsi="Calibri" w:cs="仿宋_GB2312"/>
          <w:color w:val="auto"/>
          <w:kern w:val="2"/>
          <w:sz w:val="32"/>
          <w:szCs w:val="32"/>
        </w:rPr>
        <w:t>3D</w:t>
      </w:r>
      <w:r>
        <w:rPr>
          <w:rFonts w:ascii="仿宋_GB2312" w:eastAsia="仿宋_GB2312" w:hAnsi="Calibri" w:cs="仿宋_GB2312" w:hint="eastAsia"/>
          <w:color w:val="auto"/>
          <w:kern w:val="2"/>
          <w:sz w:val="32"/>
          <w:szCs w:val="32"/>
        </w:rPr>
        <w:t xml:space="preserve">细胞打印技术等有望率先实现产业化，并将为新阶段人类生命健康需求提供新手段、新途径。信息技术加速发展，云计算、超级计算、大数据等技术水平不断提升，为发展健康产业提供了强大的信息技术支撑。随着生物技术与信息技术相互渗透融合、体制机制不断创新突破，基因检测、远程医疗、个体化治疗等健康服务新业态和新模式层出不穷，健康产业将迎来蓬勃发展的战略机遇期。大力发展健康产业成为我市凸显后发优势的战略选择。　　</w:t>
      </w:r>
    </w:p>
    <w:p w:rsidR="00195273" w:rsidRDefault="004F4DE5" w:rsidP="0013485A">
      <w:pPr>
        <w:pStyle w:val="1"/>
        <w:widowControl/>
        <w:spacing w:before="0" w:after="0" w:line="540" w:lineRule="exact"/>
        <w:ind w:firstLineChars="245" w:firstLine="787"/>
        <w:rPr>
          <w:rStyle w:val="1Char"/>
          <w:rFonts w:ascii="仿宋_GB2312" w:eastAsia="仿宋_GB2312" w:cs="Times New Roman"/>
          <w:b/>
          <w:bCs/>
          <w:sz w:val="32"/>
          <w:szCs w:val="32"/>
        </w:rPr>
      </w:pPr>
      <w:bookmarkStart w:id="20" w:name="_Toc9235"/>
      <w:bookmarkStart w:id="21" w:name="_Toc415615277"/>
      <w:r>
        <w:rPr>
          <w:rStyle w:val="1Char"/>
          <w:rFonts w:ascii="仿宋_GB2312" w:eastAsia="仿宋_GB2312" w:cs="仿宋_GB2312" w:hint="eastAsia"/>
          <w:b/>
          <w:bCs/>
          <w:sz w:val="32"/>
          <w:szCs w:val="32"/>
        </w:rPr>
        <w:t>二、发展思路</w:t>
      </w:r>
      <w:bookmarkEnd w:id="20"/>
      <w:bookmarkEnd w:id="21"/>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22" w:name="_Toc415615278"/>
      <w:bookmarkStart w:id="23" w:name="_Toc17702"/>
      <w:r>
        <w:rPr>
          <w:rFonts w:ascii="仿宋_GB2312" w:eastAsia="仿宋_GB2312" w:cs="仿宋_GB2312" w:hint="eastAsia"/>
        </w:rPr>
        <w:t>（一）指导思想</w:t>
      </w:r>
      <w:bookmarkEnd w:id="22"/>
      <w:bookmarkEnd w:id="23"/>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立足经济新常态背景，以“绿色崛起、科学跨越”为指导，以改革创新和社会资本为动力，充分发挥我市生态资本优势，努力培育以生态资本为核心的健康产业体系。重点发展医疗服务、健康管理、照护康复、中医药医疗保健、生态休闲养生（养老）、健康旅游与文化等健康服务业，着力发展生物医药产业、生态农业、健康食品、健康用品等健康制造业，鼓励发展健康信息、高端医疗器械、健康保险等产业。按照“差异化、特色化、集聚化”的战略方针，加大科技创新和服务模式创新力度，强化招商引资和项目建设，大力引入社会资本，优化产业资本结构，完善空间布局。扶持一批主业突出、核心竞争力强、带动作用大的龙头企业和创新型企业；培育一批科技含量高、市场前景好的拳头产品；打造一批特色鲜明、配套完善的健康产业基地。着力扩大供给，提高消费能力，不断满足我市人民群众多层次、多样化的健康需求，将健康产业发展成为我市重要的主导产业。</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24" w:name="_Toc415615279"/>
      <w:bookmarkStart w:id="25" w:name="_Toc27831"/>
      <w:r>
        <w:rPr>
          <w:rFonts w:ascii="仿宋_GB2312" w:eastAsia="仿宋_GB2312" w:cs="仿宋_GB2312" w:hint="eastAsia"/>
        </w:rPr>
        <w:lastRenderedPageBreak/>
        <w:t>（二）基本原则</w:t>
      </w:r>
      <w:bookmarkEnd w:id="24"/>
      <w:bookmarkEnd w:id="25"/>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市场主导，政府推动。充分发挥市场在资源配置中的决定性作用，激发社会活力，完善健康产业市场体系，不断增加健康服务供给，提高服务质量和效率。充分发挥政府对战略性新兴产业的推动作用，完善国民健康政策，支持、引导和规范健康产业发展。</w:t>
      </w:r>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产业融合，集聚发展。加快医疗服务和健康管理、养生养老、休闲旅游、体育健身、信息服务以及生物医药等产业融合，实现产业链发展。整合优势资源，优化产业布局，形成产业结构合理、创新系统高效、比较优势突出、综合竞争力突显的健康产业集群。</w:t>
      </w:r>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t>创新引领，特色突出。构建和完善有利于自主创新的体制机制，充分激发社会资本热情，提升自主创新能力。实施差异化发展战略，做大做强优势行业，做优做精细分领域，实现特色产业跨越发展。</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26" w:name="_Toc415615280"/>
      <w:bookmarkStart w:id="27" w:name="_Toc31452"/>
      <w:r>
        <w:rPr>
          <w:rFonts w:ascii="仿宋_GB2312" w:eastAsia="仿宋_GB2312" w:cs="仿宋_GB2312" w:hint="eastAsia"/>
        </w:rPr>
        <w:t>（三）发展目标</w:t>
      </w:r>
      <w:bookmarkEnd w:id="26"/>
      <w:bookmarkEnd w:id="27"/>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到</w:t>
      </w:r>
      <w:r>
        <w:rPr>
          <w:rFonts w:ascii="仿宋_GB2312" w:eastAsia="仿宋_GB2312" w:cs="仿宋_GB2312"/>
          <w:sz w:val="32"/>
          <w:szCs w:val="32"/>
        </w:rPr>
        <w:t>2025</w:t>
      </w:r>
      <w:r>
        <w:rPr>
          <w:rFonts w:ascii="仿宋_GB2312" w:eastAsia="仿宋_GB2312" w:cs="仿宋_GB2312" w:hint="eastAsia"/>
          <w:sz w:val="32"/>
          <w:szCs w:val="32"/>
        </w:rPr>
        <w:t>年，我市健康产业重点领域实现较大突破，优势特色领域竞争力彰显，产业发展环境较为优越，产业支撑体系初步构建，产业集聚区基本形成，自主创新能力显著提高，产业综合实力不断增强。以医疗服务、健康管理、照护康复、中医药医疗保健为龙头，以生态休闲养生（养老）、健康旅游与文化、健康信息、健康保险为特色，以生物医药，健康食品，生态休闲养生（老）用品为产业支撑，打造一批健康产业基地，开展一批健康产业试点示范，建设一批健康产业重点项目，培育一批健康产业骨干企业。不断优化产业结构与空间布局，基本形成覆盖全生命周期、内涵丰富、结构合理的健康产业体系，把健康产业打造成为我市重要的朝阳产业，丽水市成为国内外知名的“健康美丽之城”。</w:t>
      </w:r>
    </w:p>
    <w:p w:rsidR="00195273" w:rsidRDefault="004F4DE5" w:rsidP="0013485A">
      <w:pPr>
        <w:pStyle w:val="a7"/>
        <w:spacing w:before="0" w:after="0" w:line="540" w:lineRule="exact"/>
        <w:ind w:firstLineChars="200" w:firstLine="643"/>
        <w:jc w:val="both"/>
        <w:rPr>
          <w:rFonts w:ascii="仿宋_GB2312" w:eastAsia="仿宋_GB2312" w:hAnsi="Calibri" w:cs="Times New Roman"/>
          <w:color w:val="auto"/>
          <w:kern w:val="2"/>
          <w:sz w:val="32"/>
          <w:szCs w:val="32"/>
        </w:rPr>
      </w:pPr>
      <w:r>
        <w:rPr>
          <w:rFonts w:ascii="仿宋_GB2312" w:eastAsia="仿宋_GB2312" w:hAnsi="Calibri" w:cs="Calibri"/>
          <w:b/>
          <w:bCs/>
          <w:color w:val="auto"/>
          <w:kern w:val="2"/>
          <w:sz w:val="32"/>
          <w:szCs w:val="32"/>
        </w:rPr>
        <w:t>——</w:t>
      </w:r>
      <w:r>
        <w:rPr>
          <w:rFonts w:ascii="仿宋_GB2312" w:eastAsia="仿宋_GB2312" w:hAnsi="Calibri" w:cs="仿宋_GB2312" w:hint="eastAsia"/>
          <w:b/>
          <w:bCs/>
          <w:color w:val="auto"/>
          <w:kern w:val="2"/>
          <w:sz w:val="32"/>
          <w:szCs w:val="32"/>
        </w:rPr>
        <w:t>关键领域改革取得突破。</w:t>
      </w:r>
      <w:r>
        <w:rPr>
          <w:rFonts w:ascii="仿宋_GB2312" w:eastAsia="仿宋_GB2312" w:hAnsi="Calibri" w:cs="仿宋_GB2312" w:hint="eastAsia"/>
          <w:color w:val="auto"/>
          <w:kern w:val="2"/>
          <w:sz w:val="32"/>
          <w:szCs w:val="32"/>
        </w:rPr>
        <w:t>公立医院综合改革、社会资本办医、医师多点执业、智慧健康、多元化医疗保险制度建设等方面取</w:t>
      </w:r>
      <w:r>
        <w:rPr>
          <w:rFonts w:ascii="仿宋_GB2312" w:eastAsia="仿宋_GB2312" w:hAnsi="Calibri" w:cs="仿宋_GB2312" w:hint="eastAsia"/>
          <w:color w:val="auto"/>
          <w:kern w:val="2"/>
          <w:sz w:val="32"/>
          <w:szCs w:val="32"/>
        </w:rPr>
        <w:lastRenderedPageBreak/>
        <w:t>得显著进展，医疗卫生机构和卫生技术人员的活力充分激发，医疗卫生服务能力全面提升。</w:t>
      </w:r>
    </w:p>
    <w:p w:rsidR="00195273" w:rsidRDefault="004F4DE5" w:rsidP="0013485A">
      <w:pPr>
        <w:pStyle w:val="a7"/>
        <w:spacing w:before="0" w:after="0" w:line="540" w:lineRule="exact"/>
        <w:ind w:firstLineChars="200" w:firstLine="643"/>
        <w:jc w:val="both"/>
        <w:rPr>
          <w:rFonts w:ascii="仿宋_GB2312" w:eastAsia="仿宋_GB2312" w:hAnsi="Calibri" w:cs="Times New Roman"/>
          <w:color w:val="auto"/>
          <w:kern w:val="2"/>
          <w:sz w:val="32"/>
          <w:szCs w:val="32"/>
        </w:rPr>
      </w:pPr>
      <w:r>
        <w:rPr>
          <w:rFonts w:ascii="仿宋_GB2312" w:eastAsia="仿宋_GB2312" w:hAnsi="Calibri" w:cs="Calibri"/>
          <w:b/>
          <w:bCs/>
          <w:color w:val="auto"/>
          <w:kern w:val="2"/>
          <w:sz w:val="32"/>
          <w:szCs w:val="32"/>
        </w:rPr>
        <w:t>——</w:t>
      </w:r>
      <w:r>
        <w:rPr>
          <w:rFonts w:ascii="仿宋_GB2312" w:eastAsia="仿宋_GB2312" w:hAnsi="Calibri" w:cs="仿宋_GB2312" w:hint="eastAsia"/>
          <w:b/>
          <w:bCs/>
          <w:color w:val="auto"/>
          <w:kern w:val="2"/>
          <w:sz w:val="32"/>
          <w:szCs w:val="32"/>
        </w:rPr>
        <w:t>重点领域取得长足发展。</w:t>
      </w:r>
      <w:r>
        <w:rPr>
          <w:rFonts w:ascii="仿宋_GB2312" w:eastAsia="仿宋_GB2312" w:hAnsi="Calibri" w:cs="仿宋_GB2312" w:hint="eastAsia"/>
          <w:color w:val="auto"/>
          <w:kern w:val="2"/>
          <w:sz w:val="32"/>
          <w:szCs w:val="32"/>
        </w:rPr>
        <w:t>健康管理，照护康复，中医药医疗保健，生态休闲养生（养老），健康旅游与文化，生物医药，健康食（用）品等领域发展初具规模，基本满足我市多元化健康需求。</w:t>
      </w:r>
    </w:p>
    <w:p w:rsidR="00195273" w:rsidRDefault="004F4DE5" w:rsidP="0013485A">
      <w:pPr>
        <w:spacing w:line="540" w:lineRule="exact"/>
        <w:ind w:firstLineChars="200" w:firstLine="643"/>
        <w:rPr>
          <w:rFonts w:ascii="仿宋_GB2312" w:eastAsia="仿宋_GB2312" w:cs="Times New Roman"/>
          <w:sz w:val="32"/>
          <w:szCs w:val="32"/>
        </w:rPr>
      </w:pPr>
      <w:r>
        <w:rPr>
          <w:rFonts w:ascii="仿宋_GB2312" w:eastAsia="仿宋_GB2312"/>
          <w:b/>
          <w:bCs/>
          <w:sz w:val="32"/>
          <w:szCs w:val="32"/>
        </w:rPr>
        <w:t>——</w:t>
      </w:r>
      <w:r>
        <w:rPr>
          <w:rFonts w:ascii="仿宋_GB2312" w:eastAsia="仿宋_GB2312" w:cs="仿宋_GB2312" w:hint="eastAsia"/>
          <w:b/>
          <w:bCs/>
          <w:sz w:val="32"/>
          <w:szCs w:val="32"/>
        </w:rPr>
        <w:t>健康产业集群基本形成。</w:t>
      </w:r>
      <w:r>
        <w:rPr>
          <w:rFonts w:ascii="仿宋_GB2312" w:eastAsia="仿宋_GB2312" w:cs="仿宋_GB2312" w:hint="eastAsia"/>
          <w:sz w:val="32"/>
          <w:szCs w:val="32"/>
        </w:rPr>
        <w:t>生物医药产业基地、浙西南地区医疗服务中心、中医养生保健服务基地和药养基地、高端健康管理中心、健康旅游与文化中心、养生养老医疗保健康复基地、国家级慢性病防治示范等基地基本建成，形成内容丰富、专业化程度高、配套完善、各具特色的健康服务业和制造业集群。</w:t>
      </w:r>
    </w:p>
    <w:p w:rsidR="00195273" w:rsidRDefault="004F4DE5" w:rsidP="0013485A">
      <w:pPr>
        <w:spacing w:line="540" w:lineRule="exact"/>
        <w:ind w:firstLineChars="200" w:firstLine="643"/>
        <w:rPr>
          <w:rFonts w:ascii="仿宋_GB2312" w:eastAsia="仿宋_GB2312" w:cs="Times New Roman"/>
          <w:sz w:val="32"/>
          <w:szCs w:val="32"/>
        </w:rPr>
      </w:pPr>
      <w:r>
        <w:rPr>
          <w:rFonts w:ascii="仿宋_GB2312" w:eastAsia="仿宋_GB2312"/>
          <w:b/>
          <w:bCs/>
          <w:sz w:val="32"/>
          <w:szCs w:val="32"/>
        </w:rPr>
        <w:t>——</w:t>
      </w:r>
      <w:r>
        <w:rPr>
          <w:rFonts w:ascii="仿宋_GB2312" w:eastAsia="仿宋_GB2312" w:cs="仿宋_GB2312" w:hint="eastAsia"/>
          <w:b/>
          <w:bCs/>
          <w:sz w:val="32"/>
          <w:szCs w:val="32"/>
        </w:rPr>
        <w:t>空间布局逐步完善。</w:t>
      </w:r>
      <w:r>
        <w:rPr>
          <w:rFonts w:ascii="仿宋_GB2312" w:eastAsia="仿宋_GB2312" w:cs="仿宋_GB2312" w:hint="eastAsia"/>
          <w:sz w:val="32"/>
          <w:szCs w:val="32"/>
        </w:rPr>
        <w:t>依托休闲养生集聚区、医药产业集聚区、重点生态功能区及中医药、体育健身、休闲旅游等资源，结合城市规划和区域特色，因地制宜规划布局各类健康产业，形成点线面结合、城乡区域协调的多层次空间架构，基本形成“一核、三区、多片”的健康产业发展布局。</w:t>
      </w:r>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cs="仿宋_GB2312"/>
          <w:color w:val="auto"/>
          <w:kern w:val="2"/>
          <w:sz w:val="32"/>
          <w:szCs w:val="32"/>
        </w:rPr>
        <w:t>2014</w:t>
      </w:r>
      <w:r>
        <w:rPr>
          <w:rFonts w:ascii="仿宋_GB2312" w:eastAsia="仿宋_GB2312" w:cs="仿宋_GB2312" w:hint="eastAsia"/>
          <w:color w:val="auto"/>
          <w:kern w:val="2"/>
          <w:sz w:val="32"/>
          <w:szCs w:val="32"/>
        </w:rPr>
        <w:t>年健康产业规模约</w:t>
      </w:r>
      <w:r>
        <w:rPr>
          <w:rFonts w:ascii="仿宋_GB2312" w:eastAsia="仿宋_GB2312" w:cs="仿宋_GB2312"/>
          <w:color w:val="auto"/>
          <w:kern w:val="2"/>
          <w:sz w:val="32"/>
          <w:szCs w:val="32"/>
        </w:rPr>
        <w:t>440</w:t>
      </w:r>
      <w:r>
        <w:rPr>
          <w:rFonts w:ascii="仿宋_GB2312" w:eastAsia="仿宋_GB2312" w:cs="仿宋_GB2312" w:hint="eastAsia"/>
          <w:color w:val="auto"/>
          <w:kern w:val="2"/>
          <w:sz w:val="32"/>
          <w:szCs w:val="32"/>
        </w:rPr>
        <w:t>亿元，到</w:t>
      </w:r>
      <w:r>
        <w:rPr>
          <w:rFonts w:ascii="仿宋_GB2312" w:eastAsia="仿宋_GB2312" w:cs="仿宋_GB2312"/>
          <w:color w:val="auto"/>
          <w:kern w:val="2"/>
          <w:sz w:val="32"/>
          <w:szCs w:val="32"/>
        </w:rPr>
        <w:t>2025</w:t>
      </w:r>
      <w:r>
        <w:rPr>
          <w:rFonts w:ascii="仿宋_GB2312" w:eastAsia="仿宋_GB2312" w:cs="仿宋_GB2312" w:hint="eastAsia"/>
          <w:color w:val="auto"/>
          <w:kern w:val="2"/>
          <w:sz w:val="32"/>
          <w:szCs w:val="32"/>
        </w:rPr>
        <w:t>年力争突破</w:t>
      </w:r>
      <w:r>
        <w:rPr>
          <w:rFonts w:ascii="仿宋_GB2312" w:eastAsia="仿宋_GB2312" w:cs="仿宋_GB2312"/>
          <w:color w:val="auto"/>
          <w:kern w:val="2"/>
          <w:sz w:val="32"/>
          <w:szCs w:val="32"/>
        </w:rPr>
        <w:t>1700</w:t>
      </w:r>
      <w:r>
        <w:rPr>
          <w:rFonts w:ascii="仿宋_GB2312" w:eastAsia="仿宋_GB2312" w:cs="仿宋_GB2312" w:hint="eastAsia"/>
          <w:color w:val="auto"/>
          <w:kern w:val="2"/>
          <w:sz w:val="32"/>
          <w:szCs w:val="32"/>
        </w:rPr>
        <w:t>亿元，其中健康制造业规模达</w:t>
      </w:r>
      <w:r>
        <w:rPr>
          <w:rFonts w:ascii="仿宋_GB2312" w:eastAsia="仿宋_GB2312" w:cs="仿宋_GB2312"/>
          <w:color w:val="auto"/>
          <w:kern w:val="2"/>
          <w:sz w:val="32"/>
          <w:szCs w:val="32"/>
        </w:rPr>
        <w:t>1200</w:t>
      </w:r>
      <w:r>
        <w:rPr>
          <w:rFonts w:ascii="仿宋_GB2312" w:eastAsia="仿宋_GB2312" w:cs="仿宋_GB2312" w:hint="eastAsia"/>
          <w:color w:val="auto"/>
          <w:kern w:val="2"/>
          <w:sz w:val="32"/>
          <w:szCs w:val="32"/>
        </w:rPr>
        <w:t>亿元，健康服务业规模达</w:t>
      </w:r>
      <w:r>
        <w:rPr>
          <w:rFonts w:ascii="仿宋_GB2312" w:eastAsia="仿宋_GB2312" w:cs="仿宋_GB2312"/>
          <w:color w:val="auto"/>
          <w:kern w:val="2"/>
          <w:sz w:val="32"/>
          <w:szCs w:val="32"/>
        </w:rPr>
        <w:t>500</w:t>
      </w:r>
      <w:r>
        <w:rPr>
          <w:rFonts w:ascii="仿宋_GB2312" w:eastAsia="仿宋_GB2312" w:cs="仿宋_GB2312" w:hint="eastAsia"/>
          <w:color w:val="auto"/>
          <w:kern w:val="2"/>
          <w:sz w:val="32"/>
          <w:szCs w:val="32"/>
        </w:rPr>
        <w:t>亿元</w:t>
      </w:r>
      <w:r>
        <w:rPr>
          <w:rFonts w:ascii="仿宋_GB2312" w:eastAsia="仿宋_GB2312" w:hAnsi="Calibri" w:cs="仿宋_GB2312" w:hint="eastAsia"/>
          <w:color w:val="auto"/>
          <w:kern w:val="2"/>
          <w:sz w:val="32"/>
          <w:szCs w:val="32"/>
        </w:rPr>
        <w:t>产业集群与规模效应凸显，产业结构合理，产业竞争力全面提升，健康产业体系趋于完善并成为我市重点发展的主导产业。</w:t>
      </w:r>
    </w:p>
    <w:p w:rsidR="00195273" w:rsidRDefault="004F4DE5" w:rsidP="0013485A">
      <w:pPr>
        <w:pStyle w:val="1"/>
        <w:widowControl/>
        <w:spacing w:before="0" w:after="0" w:line="540" w:lineRule="exact"/>
        <w:ind w:firstLineChars="245" w:firstLine="787"/>
        <w:rPr>
          <w:rStyle w:val="1Char"/>
          <w:rFonts w:ascii="仿宋_GB2312" w:eastAsia="仿宋_GB2312" w:cs="Times New Roman"/>
          <w:b/>
          <w:bCs/>
          <w:sz w:val="32"/>
          <w:szCs w:val="32"/>
        </w:rPr>
      </w:pPr>
      <w:bookmarkStart w:id="28" w:name="_Toc4688"/>
      <w:bookmarkStart w:id="29" w:name="_Toc415615281"/>
      <w:r>
        <w:rPr>
          <w:rStyle w:val="1Char"/>
          <w:rFonts w:ascii="仿宋_GB2312" w:eastAsia="仿宋_GB2312" w:cs="仿宋_GB2312" w:hint="eastAsia"/>
          <w:b/>
          <w:bCs/>
          <w:sz w:val="32"/>
          <w:szCs w:val="32"/>
        </w:rPr>
        <w:t>三、重点发展领域及主要任务</w:t>
      </w:r>
      <w:bookmarkEnd w:id="28"/>
      <w:bookmarkEnd w:id="29"/>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30" w:name="_Toc415615282"/>
      <w:bookmarkStart w:id="31" w:name="_Toc21753"/>
      <w:r>
        <w:rPr>
          <w:rFonts w:ascii="仿宋_GB2312" w:eastAsia="仿宋_GB2312" w:cs="仿宋_GB2312" w:hint="eastAsia"/>
        </w:rPr>
        <w:t>（一）</w:t>
      </w:r>
      <w:bookmarkEnd w:id="30"/>
      <w:r>
        <w:rPr>
          <w:rFonts w:ascii="仿宋_GB2312" w:eastAsia="仿宋_GB2312" w:cs="仿宋_GB2312" w:hint="eastAsia"/>
        </w:rPr>
        <w:t>多元化办医</w:t>
      </w:r>
      <w:bookmarkEnd w:id="31"/>
    </w:p>
    <w:p w:rsidR="00195273" w:rsidRDefault="004F4DE5" w:rsidP="0013485A">
      <w:pPr>
        <w:pStyle w:val="ListParagraph1"/>
        <w:spacing w:line="540" w:lineRule="exact"/>
        <w:ind w:firstLine="640"/>
        <w:rPr>
          <w:rFonts w:ascii="仿宋_GB2312" w:eastAsia="仿宋_GB2312" w:cs="仿宋_GB2312"/>
          <w:sz w:val="32"/>
          <w:szCs w:val="32"/>
        </w:rPr>
      </w:pPr>
      <w:r>
        <w:rPr>
          <w:rFonts w:ascii="仿宋_GB2312" w:eastAsia="仿宋_GB2312" w:cs="仿宋_GB2312" w:hint="eastAsia"/>
          <w:sz w:val="32"/>
          <w:szCs w:val="32"/>
        </w:rPr>
        <w:t>推进现代医院管理制度建设，落实医院内部人事管理、绩效工资分配、经营运行等自主权。积极探索公立医院管办分开的多种有效实现形式，创新管理方式，从直接管理公立医院转为行业管理。逐步取消公立医院行政级别。</w:t>
      </w:r>
    </w:p>
    <w:p w:rsidR="00195273" w:rsidRDefault="004F4DE5" w:rsidP="0013485A">
      <w:pPr>
        <w:pStyle w:val="ListParagraph1"/>
        <w:spacing w:line="540" w:lineRule="exact"/>
        <w:ind w:firstLine="640"/>
        <w:rPr>
          <w:rFonts w:ascii="仿宋_GB2312" w:eastAsia="仿宋_GB2312" w:cs="Times New Roman"/>
          <w:sz w:val="32"/>
          <w:szCs w:val="32"/>
        </w:rPr>
      </w:pPr>
      <w:r>
        <w:rPr>
          <w:rFonts w:ascii="仿宋_GB2312" w:eastAsia="仿宋_GB2312" w:cs="仿宋_GB2312" w:hint="eastAsia"/>
          <w:sz w:val="32"/>
          <w:szCs w:val="32"/>
        </w:rPr>
        <w:t>大力推进社会力量办医，培育一批民营医院，鼓励企业、慈善</w:t>
      </w:r>
      <w:r>
        <w:rPr>
          <w:rFonts w:ascii="仿宋_GB2312" w:eastAsia="仿宋_GB2312" w:cs="仿宋_GB2312" w:hint="eastAsia"/>
          <w:sz w:val="32"/>
          <w:szCs w:val="32"/>
        </w:rPr>
        <w:lastRenderedPageBreak/>
        <w:t>机构、基金会、商业保险机构和自然人等举办各类医疗机构。加大招商引资力度，支持中外合资、合作办医，鼓励具备条件的境外资本设立独资医疗机构，鼓励在养老院或敬老院兴办以老年护理康复服务为主要特色的医疗机构，优先支持社会力量举办老年护理、健康体检、疗养康复、临终关怀等特色医疗机构，到</w:t>
      </w:r>
      <w:r>
        <w:rPr>
          <w:rFonts w:ascii="仿宋_GB2312" w:eastAsia="仿宋_GB2312" w:cs="仿宋_GB2312"/>
          <w:sz w:val="32"/>
          <w:szCs w:val="32"/>
        </w:rPr>
        <w:t>2020</w:t>
      </w:r>
      <w:r>
        <w:rPr>
          <w:rFonts w:ascii="仿宋_GB2312" w:eastAsia="仿宋_GB2312" w:cs="仿宋_GB2312" w:hint="eastAsia"/>
          <w:sz w:val="32"/>
          <w:szCs w:val="32"/>
        </w:rPr>
        <w:t>年社会力量办医床位数占比达到</w:t>
      </w:r>
      <w:r>
        <w:rPr>
          <w:rFonts w:ascii="仿宋_GB2312" w:eastAsia="仿宋_GB2312" w:cs="仿宋_GB2312"/>
          <w:sz w:val="32"/>
          <w:szCs w:val="32"/>
        </w:rPr>
        <w:t>25%</w:t>
      </w:r>
      <w:r>
        <w:rPr>
          <w:rFonts w:ascii="仿宋_GB2312" w:eastAsia="仿宋_GB2312" w:cs="仿宋_GB2312" w:hint="eastAsia"/>
          <w:sz w:val="32"/>
          <w:szCs w:val="32"/>
        </w:rPr>
        <w:t>以上。形成以“三级医院为龙头、二级医院为主体、专科医院为特色、城乡基层医疗卫生机构为基础”的现代医疗服务群，建设涵盖预防、治疗、康复三位一体、全域覆盖的医疗服务网络，将丽水建设成为浙西南医疗服务中心。</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32" w:name="_Toc17888"/>
      <w:bookmarkStart w:id="33" w:name="_Toc415615283"/>
      <w:r>
        <w:rPr>
          <w:rFonts w:ascii="仿宋_GB2312" w:eastAsia="仿宋_GB2312" w:cs="仿宋_GB2312" w:hint="eastAsia"/>
        </w:rPr>
        <w:t>（二）健康管理</w:t>
      </w:r>
      <w:bookmarkEnd w:id="32"/>
      <w:bookmarkEnd w:id="33"/>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t>面向社会公众多层次、个性化健康管理需求，推广应用移动健康终端产品，构建数字化、网络化的人口健康信息平台，实现本地和远程相结合的健康信息管理。培育差异化的健康管理服务项目，探索健康和亚健康管理、慢病管理、防衰老管理等分级式和多元化健康管理服务模式，不断提升产业层次和服务质量，推动健康管理产业向新型化、个体化、网络化、社会化发展，促进优质医疗资源纵向流动。</w:t>
      </w:r>
    </w:p>
    <w:p w:rsidR="00195273" w:rsidRDefault="004F4DE5" w:rsidP="0013485A">
      <w:pPr>
        <w:spacing w:line="540" w:lineRule="exact"/>
        <w:ind w:firstLineChars="200" w:firstLine="643"/>
        <w:rPr>
          <w:rFonts w:ascii="仿宋_GB2312" w:eastAsia="仿宋_GB2312" w:cs="Times New Roman"/>
          <w:sz w:val="32"/>
          <w:szCs w:val="32"/>
        </w:rPr>
      </w:pPr>
      <w:bookmarkStart w:id="34" w:name="_Toc415615284"/>
      <w:r>
        <w:rPr>
          <w:rFonts w:ascii="仿宋_GB2312" w:eastAsia="仿宋_GB2312" w:cs="仿宋_GB2312"/>
          <w:b/>
          <w:bCs/>
          <w:sz w:val="32"/>
          <w:szCs w:val="32"/>
        </w:rPr>
        <w:t>1</w:t>
      </w:r>
      <w:r>
        <w:rPr>
          <w:rFonts w:ascii="仿宋_GB2312" w:eastAsia="仿宋_GB2312" w:cs="仿宋_GB2312" w:hint="eastAsia"/>
          <w:b/>
          <w:bCs/>
          <w:sz w:val="32"/>
          <w:szCs w:val="32"/>
        </w:rPr>
        <w:t>．新型健康管理服务模式</w:t>
      </w:r>
      <w:bookmarkEnd w:id="34"/>
      <w:r>
        <w:rPr>
          <w:rFonts w:ascii="仿宋_GB2312" w:eastAsia="仿宋_GB2312" w:cs="仿宋_GB2312" w:hint="eastAsia"/>
          <w:b/>
          <w:bCs/>
          <w:sz w:val="32"/>
          <w:szCs w:val="32"/>
        </w:rPr>
        <w:t>。</w:t>
      </w:r>
      <w:r>
        <w:rPr>
          <w:rFonts w:ascii="仿宋_GB2312" w:eastAsia="仿宋_GB2312" w:cs="仿宋_GB2312" w:hint="eastAsia"/>
          <w:sz w:val="32"/>
          <w:szCs w:val="32"/>
        </w:rPr>
        <w:t>培育一批以个性化服务、会员制经营、整体式推进为特色的健康管理企业，发展家庭医生、个性化体检、疾病筛查、保健指导、健康干预、慢病管理、心理健康咨询等特色健康管理服务。依托现有医院体检中心的技术支撑体系，引进</w:t>
      </w:r>
      <w:r>
        <w:rPr>
          <w:rFonts w:ascii="仿宋_GB2312" w:eastAsia="仿宋_GB2312" w:cs="仿宋_GB2312"/>
          <w:sz w:val="32"/>
          <w:szCs w:val="32"/>
        </w:rPr>
        <w:t>PET-CT</w:t>
      </w:r>
      <w:r>
        <w:rPr>
          <w:rFonts w:ascii="仿宋_GB2312" w:eastAsia="仿宋_GB2312" w:cs="仿宋_GB2312" w:hint="eastAsia"/>
          <w:sz w:val="32"/>
          <w:szCs w:val="32"/>
        </w:rPr>
        <w:t>，建立与各养生养老基地、旅游服务机构的合作机制，为休闲养生养老对象设立个性化、方便快捷、体贴周到的体检服务。探索集预防、评估、跟踪、随访、干预、指导、教育与促进为一体的新型健康管理服务模式。</w:t>
      </w:r>
    </w:p>
    <w:p w:rsidR="00195273" w:rsidRDefault="004F4DE5" w:rsidP="0013485A">
      <w:pPr>
        <w:spacing w:line="540" w:lineRule="exact"/>
        <w:ind w:firstLineChars="200" w:firstLine="643"/>
        <w:rPr>
          <w:rFonts w:ascii="仿宋_GB2312" w:eastAsia="仿宋_GB2312" w:cs="Times New Roman"/>
          <w:sz w:val="32"/>
          <w:szCs w:val="32"/>
        </w:rPr>
      </w:pPr>
      <w:bookmarkStart w:id="35" w:name="_Toc415615285"/>
      <w:r>
        <w:rPr>
          <w:rFonts w:ascii="仿宋_GB2312" w:eastAsia="仿宋_GB2312" w:cs="仿宋_GB2312"/>
          <w:b/>
          <w:bCs/>
          <w:sz w:val="32"/>
          <w:szCs w:val="32"/>
        </w:rPr>
        <w:t>2</w:t>
      </w:r>
      <w:r>
        <w:rPr>
          <w:rFonts w:ascii="仿宋_GB2312" w:eastAsia="仿宋_GB2312" w:cs="仿宋_GB2312" w:hint="eastAsia"/>
          <w:b/>
          <w:bCs/>
          <w:sz w:val="32"/>
          <w:szCs w:val="32"/>
        </w:rPr>
        <w:t>．个性化健康管理信息</w:t>
      </w:r>
      <w:bookmarkEnd w:id="35"/>
      <w:r>
        <w:rPr>
          <w:rFonts w:ascii="仿宋_GB2312" w:eastAsia="仿宋_GB2312" w:cs="仿宋_GB2312" w:hint="eastAsia"/>
          <w:b/>
          <w:bCs/>
          <w:sz w:val="32"/>
          <w:szCs w:val="32"/>
        </w:rPr>
        <w:t>服务。</w:t>
      </w:r>
      <w:r>
        <w:rPr>
          <w:rFonts w:ascii="仿宋_GB2312" w:eastAsia="仿宋_GB2312" w:cs="仿宋_GB2312" w:hint="eastAsia"/>
          <w:kern w:val="44"/>
          <w:sz w:val="32"/>
          <w:szCs w:val="32"/>
        </w:rPr>
        <w:t>充分利用穿戴式植入式智能设</w:t>
      </w:r>
      <w:r>
        <w:rPr>
          <w:rFonts w:ascii="仿宋_GB2312" w:eastAsia="仿宋_GB2312" w:cs="仿宋_GB2312" w:hint="eastAsia"/>
          <w:kern w:val="44"/>
          <w:sz w:val="32"/>
          <w:szCs w:val="32"/>
        </w:rPr>
        <w:lastRenderedPageBreak/>
        <w:t>备、移动终端等形式采集并监测用户的健康数据，通过连续、有效的指标数据，进行全方位、多角度的信息跟踪、分析和整体评估以及早期预测和诊断指导，重点针对亚健康、慢性病人群，提高自我健康管理能力，打造具有个性化特色的新型、创新健康管理服务方式。</w:t>
      </w:r>
    </w:p>
    <w:p w:rsidR="00195273" w:rsidRDefault="004F4DE5" w:rsidP="0013485A">
      <w:pPr>
        <w:spacing w:line="540" w:lineRule="exact"/>
        <w:ind w:firstLineChars="200" w:firstLine="643"/>
        <w:rPr>
          <w:rFonts w:ascii="仿宋_GB2312" w:eastAsia="仿宋_GB2312" w:cs="Times New Roman"/>
          <w:kern w:val="44"/>
          <w:sz w:val="32"/>
          <w:szCs w:val="32"/>
        </w:rPr>
      </w:pPr>
      <w:bookmarkStart w:id="36" w:name="_Toc415615286"/>
      <w:r>
        <w:rPr>
          <w:rFonts w:ascii="仿宋_GB2312" w:eastAsia="仿宋_GB2312" w:cs="仿宋_GB2312"/>
          <w:b/>
          <w:bCs/>
          <w:sz w:val="32"/>
          <w:szCs w:val="32"/>
        </w:rPr>
        <w:t>3</w:t>
      </w:r>
      <w:r>
        <w:rPr>
          <w:rFonts w:ascii="仿宋_GB2312" w:eastAsia="仿宋_GB2312" w:cs="仿宋_GB2312" w:hint="eastAsia"/>
          <w:b/>
          <w:bCs/>
          <w:sz w:val="32"/>
          <w:szCs w:val="32"/>
        </w:rPr>
        <w:t>．慢病管理中心</w:t>
      </w:r>
      <w:bookmarkEnd w:id="36"/>
      <w:r>
        <w:rPr>
          <w:rFonts w:ascii="仿宋_GB2312" w:eastAsia="仿宋_GB2312" w:cs="仿宋_GB2312" w:hint="eastAsia"/>
          <w:b/>
          <w:bCs/>
          <w:sz w:val="32"/>
          <w:szCs w:val="32"/>
        </w:rPr>
        <w:t>。</w:t>
      </w:r>
      <w:r>
        <w:rPr>
          <w:rFonts w:ascii="仿宋_GB2312" w:eastAsia="仿宋_GB2312" w:cs="仿宋_GB2312" w:hint="eastAsia"/>
          <w:sz w:val="32"/>
          <w:szCs w:val="32"/>
        </w:rPr>
        <w:t>建立各级政府主导、相关部门密切配合的跨部门慢性病防治协调机制；推广高血压、糖尿病社区综合防治与适龄儿童窝沟封闭、重点肿瘤筛查等慢性病防治适宜技术；大力推进全民健康生活示范社区、示范单位、示范餐厅、示范食堂和健康促进学校、健康促进医院创建；</w:t>
      </w:r>
      <w:bookmarkStart w:id="37" w:name="_Toc415615287"/>
      <w:r>
        <w:rPr>
          <w:rFonts w:ascii="仿宋_GB2312" w:eastAsia="仿宋_GB2312" w:cs="仿宋_GB2312" w:hint="eastAsia"/>
          <w:kern w:val="44"/>
          <w:sz w:val="32"/>
          <w:szCs w:val="32"/>
        </w:rPr>
        <w:t>实施基本公共卫生服务项目，建立居民电子健康档案，加强高血压、糖尿病患者规范管理。积极发现慢性病患者和高风险人群（血压、血糖、血脂偏高和吸烟、酗酒、肥胖、超重等），控制脑卒中发病率和慢性阻塞性肺病患病率，全力打造国家级或省级慢性非传染性疾病综合防控示范区。</w:t>
      </w:r>
    </w:p>
    <w:p w:rsidR="00195273" w:rsidRDefault="004F4DE5" w:rsidP="0013485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（三）照护康复</w:t>
      </w:r>
      <w:bookmarkEnd w:id="37"/>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t>满足不断增长的照护康复需求，加快推进传统手段与现代技术的集成应用，培育一批具有高科技含量的照护康复服务企业，创新商业模式，加强行业规范，完善管理体制，重点发展养老服务、专业母婴护理、康复服务等适应不同人群需要的护理服务，提高相关设备和产品研发制造能力，推进试点示范和应用，推动照护康复专业化、市场化、规模化发展。</w:t>
      </w:r>
    </w:p>
    <w:p w:rsidR="00195273" w:rsidRDefault="004F4DE5" w:rsidP="0013485A">
      <w:pPr>
        <w:spacing w:line="540" w:lineRule="exact"/>
        <w:ind w:firstLineChars="200" w:firstLine="643"/>
        <w:rPr>
          <w:rFonts w:ascii="仿宋_GB2312" w:eastAsia="仿宋_GB2312" w:cs="Times New Roman"/>
          <w:sz w:val="32"/>
          <w:szCs w:val="32"/>
        </w:rPr>
      </w:pPr>
      <w:bookmarkStart w:id="38" w:name="_Toc415615288"/>
      <w:r>
        <w:rPr>
          <w:rFonts w:ascii="仿宋_GB2312" w:eastAsia="仿宋_GB2312" w:cs="仿宋_GB2312"/>
          <w:b/>
          <w:bCs/>
          <w:sz w:val="32"/>
          <w:szCs w:val="32"/>
        </w:rPr>
        <w:t>1</w:t>
      </w:r>
      <w:r>
        <w:rPr>
          <w:rFonts w:ascii="仿宋_GB2312" w:eastAsia="仿宋_GB2312" w:cs="仿宋_GB2312" w:hint="eastAsia"/>
          <w:b/>
          <w:bCs/>
          <w:sz w:val="32"/>
          <w:szCs w:val="32"/>
        </w:rPr>
        <w:t>．养老服务</w:t>
      </w:r>
      <w:bookmarkEnd w:id="38"/>
      <w:r>
        <w:rPr>
          <w:rFonts w:ascii="仿宋_GB2312" w:eastAsia="仿宋_GB2312" w:cs="仿宋_GB2312" w:hint="eastAsia"/>
          <w:b/>
          <w:bCs/>
          <w:sz w:val="32"/>
          <w:szCs w:val="32"/>
        </w:rPr>
        <w:t>。</w:t>
      </w:r>
      <w:r>
        <w:rPr>
          <w:rFonts w:ascii="仿宋_GB2312" w:eastAsia="仿宋_GB2312" w:cs="仿宋_GB2312" w:hint="eastAsia"/>
          <w:sz w:val="32"/>
          <w:szCs w:val="32"/>
        </w:rPr>
        <w:t>积极应对人口老龄化，加快建立社会养老服务体系，充分发挥我市生态环境优势，培育一批社会化、综合性养老服务机构，完善老龄健康支持体系，立足本地、服务周边、辐射全国，推进老龄用品的研发与制造，加快发展养老服务业，全面推进养老服务业综合改革。</w:t>
      </w:r>
    </w:p>
    <w:p w:rsidR="00195273" w:rsidRDefault="004F4DE5" w:rsidP="0013485A">
      <w:pPr>
        <w:spacing w:line="540" w:lineRule="exact"/>
        <w:ind w:firstLineChars="200" w:firstLine="643"/>
        <w:rPr>
          <w:rFonts w:ascii="仿宋_GB2312" w:eastAsia="仿宋_GB2312" w:cs="Times New Roman"/>
          <w:sz w:val="32"/>
          <w:szCs w:val="32"/>
        </w:rPr>
      </w:pPr>
      <w:bookmarkStart w:id="39" w:name="_Toc415615289"/>
      <w:r>
        <w:rPr>
          <w:rFonts w:ascii="仿宋_GB2312" w:eastAsia="仿宋_GB2312" w:cs="仿宋_GB2312"/>
          <w:b/>
          <w:bCs/>
          <w:sz w:val="32"/>
          <w:szCs w:val="32"/>
        </w:rPr>
        <w:lastRenderedPageBreak/>
        <w:t>2</w:t>
      </w:r>
      <w:r>
        <w:rPr>
          <w:rFonts w:ascii="仿宋_GB2312" w:eastAsia="仿宋_GB2312" w:cs="仿宋_GB2312" w:hint="eastAsia"/>
          <w:b/>
          <w:bCs/>
          <w:sz w:val="32"/>
          <w:szCs w:val="32"/>
        </w:rPr>
        <w:t>．专业母婴护理</w:t>
      </w:r>
      <w:bookmarkEnd w:id="39"/>
      <w:r>
        <w:rPr>
          <w:rFonts w:ascii="仿宋_GB2312" w:eastAsia="仿宋_GB2312" w:cs="仿宋_GB2312" w:hint="eastAsia"/>
          <w:b/>
          <w:bCs/>
          <w:sz w:val="32"/>
          <w:szCs w:val="32"/>
        </w:rPr>
        <w:t>。</w:t>
      </w:r>
      <w:r>
        <w:rPr>
          <w:rFonts w:ascii="仿宋_GB2312" w:eastAsia="仿宋_GB2312" w:cs="仿宋_GB2312" w:hint="eastAsia"/>
          <w:sz w:val="32"/>
          <w:szCs w:val="32"/>
        </w:rPr>
        <w:t>针对我国家庭结构小型化的趋势，满足多层次母婴健康服务的需求，重点开展专业化、一体化的母婴护理服务和女性产后修复服务，充分整合服务资源，加快制订行业标准，建立健全服务监管体制，强化专业人才培训，促进专业母婴护理行业快速发展。</w:t>
      </w:r>
    </w:p>
    <w:p w:rsidR="00195273" w:rsidRDefault="004F4DE5" w:rsidP="0013485A">
      <w:pPr>
        <w:spacing w:line="540" w:lineRule="exact"/>
        <w:ind w:firstLineChars="200" w:firstLine="643"/>
        <w:rPr>
          <w:rFonts w:ascii="仿宋_GB2312" w:eastAsia="仿宋_GB2312" w:cs="Times New Roman"/>
          <w:sz w:val="32"/>
          <w:szCs w:val="32"/>
        </w:rPr>
      </w:pPr>
      <w:bookmarkStart w:id="40" w:name="_Toc415615290"/>
      <w:r>
        <w:rPr>
          <w:rFonts w:ascii="仿宋_GB2312" w:eastAsia="仿宋_GB2312" w:cs="仿宋_GB2312"/>
          <w:b/>
          <w:bCs/>
          <w:sz w:val="32"/>
          <w:szCs w:val="32"/>
        </w:rPr>
        <w:t>3</w:t>
      </w:r>
      <w:r>
        <w:rPr>
          <w:rFonts w:ascii="仿宋_GB2312" w:eastAsia="仿宋_GB2312" w:cs="仿宋_GB2312" w:hint="eastAsia"/>
          <w:b/>
          <w:bCs/>
          <w:sz w:val="32"/>
          <w:szCs w:val="32"/>
        </w:rPr>
        <w:t>．康复服务</w:t>
      </w:r>
      <w:bookmarkEnd w:id="40"/>
      <w:r>
        <w:rPr>
          <w:rFonts w:ascii="仿宋_GB2312" w:eastAsia="仿宋_GB2312" w:cs="仿宋_GB2312" w:hint="eastAsia"/>
          <w:b/>
          <w:bCs/>
          <w:sz w:val="32"/>
          <w:szCs w:val="32"/>
        </w:rPr>
        <w:t>。</w:t>
      </w:r>
      <w:r>
        <w:rPr>
          <w:rFonts w:ascii="仿宋_GB2312" w:eastAsia="仿宋_GB2312" w:cs="仿宋_GB2312" w:hint="eastAsia"/>
          <w:sz w:val="32"/>
          <w:szCs w:val="32"/>
        </w:rPr>
        <w:t>整合康复医疗资源，鼓励民营机构进入康复服务行业，建设专业化、规范化的康复咨询、治疗、辅导等服务机构，加强专业护理人才教育与培训，提升服务品质，支持特定群体康复、专业康复等新型康复服务的产业化发展。</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41" w:name="_Toc3249"/>
      <w:bookmarkStart w:id="42" w:name="_Toc415615291"/>
      <w:r>
        <w:rPr>
          <w:rFonts w:ascii="仿宋_GB2312" w:eastAsia="仿宋_GB2312" w:cs="仿宋_GB2312" w:hint="eastAsia"/>
        </w:rPr>
        <w:t>（四）中医药医疗保健</w:t>
      </w:r>
      <w:bookmarkEnd w:id="41"/>
      <w:bookmarkEnd w:id="42"/>
    </w:p>
    <w:p w:rsidR="00195273" w:rsidRDefault="004F4DE5" w:rsidP="0013485A">
      <w:pPr>
        <w:pStyle w:val="ListParagraph1"/>
        <w:spacing w:line="540" w:lineRule="exact"/>
        <w:ind w:firstLine="640"/>
        <w:rPr>
          <w:rFonts w:ascii="仿宋_GB2312" w:eastAsia="仿宋_GB2312" w:cs="Times New Roman"/>
          <w:sz w:val="32"/>
          <w:szCs w:val="32"/>
        </w:rPr>
      </w:pPr>
      <w:r>
        <w:rPr>
          <w:rFonts w:ascii="仿宋_GB2312" w:eastAsia="仿宋_GB2312" w:cs="仿宋_GB2312" w:hint="eastAsia"/>
          <w:sz w:val="32"/>
          <w:szCs w:val="32"/>
        </w:rPr>
        <w:t>全面发展中医药医疗保健服务，提升中医健康服务能力。充分发挥中医治未病、保健康复及“简、便、验、廉”的特色优势，强化中医药在常见病、慢性病防治中的优势作用。提升基层中医药服务能力，</w:t>
      </w:r>
      <w:r>
        <w:rPr>
          <w:rFonts w:ascii="仿宋_GB2312" w:eastAsia="仿宋_GB2312" w:cs="仿宋_GB2312"/>
          <w:kern w:val="44"/>
          <w:sz w:val="32"/>
          <w:szCs w:val="32"/>
        </w:rPr>
        <w:t>100%</w:t>
      </w:r>
      <w:r>
        <w:rPr>
          <w:rFonts w:ascii="仿宋_GB2312" w:eastAsia="仿宋_GB2312" w:cs="仿宋_GB2312" w:hint="eastAsia"/>
          <w:kern w:val="44"/>
          <w:sz w:val="32"/>
          <w:szCs w:val="32"/>
        </w:rPr>
        <w:t>社区卫生服务中心、</w:t>
      </w:r>
      <w:r>
        <w:rPr>
          <w:rFonts w:ascii="仿宋_GB2312" w:eastAsia="仿宋_GB2312" w:cs="仿宋_GB2312"/>
          <w:kern w:val="44"/>
          <w:sz w:val="32"/>
          <w:szCs w:val="32"/>
        </w:rPr>
        <w:t>90%</w:t>
      </w:r>
      <w:r>
        <w:rPr>
          <w:rFonts w:ascii="仿宋_GB2312" w:eastAsia="仿宋_GB2312" w:cs="仿宋_GB2312" w:hint="eastAsia"/>
          <w:kern w:val="44"/>
          <w:sz w:val="32"/>
          <w:szCs w:val="32"/>
        </w:rPr>
        <w:t>乡镇卫生院和</w:t>
      </w:r>
      <w:r>
        <w:rPr>
          <w:rFonts w:ascii="仿宋_GB2312" w:eastAsia="仿宋_GB2312" w:cs="仿宋_GB2312"/>
          <w:kern w:val="44"/>
          <w:sz w:val="32"/>
          <w:szCs w:val="32"/>
        </w:rPr>
        <w:t>70%</w:t>
      </w:r>
      <w:r>
        <w:rPr>
          <w:rFonts w:ascii="仿宋_GB2312" w:eastAsia="仿宋_GB2312" w:cs="仿宋_GB2312" w:hint="eastAsia"/>
          <w:kern w:val="44"/>
          <w:sz w:val="32"/>
          <w:szCs w:val="32"/>
        </w:rPr>
        <w:t>的社区卫生服务站和村卫生室能够提供中医药服务。</w:t>
      </w:r>
      <w:r>
        <w:rPr>
          <w:rFonts w:ascii="仿宋_GB2312" w:eastAsia="仿宋_GB2312" w:cs="仿宋_GB2312" w:hint="eastAsia"/>
          <w:sz w:val="32"/>
          <w:szCs w:val="32"/>
        </w:rPr>
        <w:t>鼓励社会资本举办中医医疗机构，支持连锁化运营，鼓励有资质的中医师在养生保健机构提供保健咨询和调理等服务，鼓励零售药店提供中医坐堂诊疗服务。加强药食两用植物的种植及产品研发与应用，深入研究挖掘畲药保健养生，打造区域特色中医养生保健品牌，依托中医药资源，建设一批中医药养生基地，开发中医诊疗、中医药养生保健仪器设备。</w:t>
      </w:r>
    </w:p>
    <w:p w:rsidR="00195273" w:rsidRDefault="004F4DE5" w:rsidP="0013485A">
      <w:pPr>
        <w:spacing w:line="540" w:lineRule="exact"/>
        <w:ind w:firstLineChars="200" w:firstLine="643"/>
        <w:rPr>
          <w:rFonts w:ascii="仿宋_GB2312" w:eastAsia="仿宋_GB2312" w:cs="Times New Roman"/>
          <w:sz w:val="32"/>
          <w:szCs w:val="32"/>
        </w:rPr>
      </w:pPr>
      <w:bookmarkStart w:id="43" w:name="_Toc415615292"/>
      <w:r>
        <w:rPr>
          <w:rFonts w:ascii="仿宋_GB2312" w:eastAsia="仿宋_GB2312" w:cs="仿宋_GB2312"/>
          <w:b/>
          <w:bCs/>
          <w:sz w:val="32"/>
          <w:szCs w:val="32"/>
        </w:rPr>
        <w:t>1</w:t>
      </w:r>
      <w:r>
        <w:rPr>
          <w:rFonts w:ascii="仿宋_GB2312" w:eastAsia="仿宋_GB2312" w:cs="仿宋_GB2312" w:hint="eastAsia"/>
          <w:b/>
          <w:bCs/>
          <w:sz w:val="32"/>
          <w:szCs w:val="32"/>
        </w:rPr>
        <w:t>．加强中医特色医院与中医养生保健机构建设</w:t>
      </w:r>
      <w:bookmarkEnd w:id="43"/>
      <w:r>
        <w:rPr>
          <w:rFonts w:ascii="仿宋_GB2312" w:eastAsia="仿宋_GB2312" w:cs="仿宋_GB2312" w:hint="eastAsia"/>
          <w:b/>
          <w:bCs/>
          <w:sz w:val="32"/>
          <w:szCs w:val="32"/>
        </w:rPr>
        <w:t>。</w:t>
      </w:r>
      <w:r>
        <w:rPr>
          <w:rFonts w:ascii="仿宋_GB2312" w:eastAsia="仿宋_GB2312" w:cs="仿宋_GB2312" w:hint="eastAsia"/>
          <w:sz w:val="32"/>
          <w:szCs w:val="32"/>
        </w:rPr>
        <w:t>以“名医、名科、名院”为抓手，以针灸、推拿、康复、养生为主体，突出中医药特色和优势，促进中医医院的全面健康发展，形成中医药特色明显、服务质量好、管理水平高的现代化中医医院。通过市场化手段大力发展包括咨询、按摩、熏洗、艾灸、贴敷、拔罐、刮痧等中医保健服务机构，促进中医养生保健事业的健康发展，统一纳入中</w:t>
      </w:r>
      <w:r>
        <w:rPr>
          <w:rFonts w:ascii="仿宋_GB2312" w:eastAsia="仿宋_GB2312" w:cs="仿宋_GB2312" w:hint="eastAsia"/>
          <w:sz w:val="32"/>
          <w:szCs w:val="32"/>
        </w:rPr>
        <w:lastRenderedPageBreak/>
        <w:t>医养生保健服务机构管理，探索中医养生保健服务发展的方式和模式，加快中医养生保健服务机构发展。</w:t>
      </w:r>
    </w:p>
    <w:p w:rsidR="00195273" w:rsidRDefault="004F4DE5" w:rsidP="0013485A">
      <w:pPr>
        <w:spacing w:line="540" w:lineRule="exact"/>
        <w:ind w:firstLineChars="200" w:firstLine="643"/>
        <w:rPr>
          <w:rFonts w:ascii="仿宋_GB2312" w:eastAsia="仿宋_GB2312" w:cs="Times New Roman"/>
          <w:kern w:val="44"/>
          <w:sz w:val="32"/>
          <w:szCs w:val="32"/>
        </w:rPr>
      </w:pPr>
      <w:bookmarkStart w:id="44" w:name="_Toc415615293"/>
      <w:r>
        <w:rPr>
          <w:rFonts w:ascii="仿宋_GB2312" w:eastAsia="仿宋_GB2312" w:cs="仿宋_GB2312"/>
          <w:b/>
          <w:bCs/>
          <w:sz w:val="32"/>
          <w:szCs w:val="32"/>
        </w:rPr>
        <w:t>2</w:t>
      </w:r>
      <w:r>
        <w:rPr>
          <w:rFonts w:ascii="仿宋_GB2312" w:eastAsia="仿宋_GB2312" w:cs="仿宋_GB2312" w:hint="eastAsia"/>
          <w:b/>
          <w:bCs/>
          <w:sz w:val="32"/>
          <w:szCs w:val="32"/>
        </w:rPr>
        <w:t>．建立中医“治未病”中心</w:t>
      </w:r>
      <w:bookmarkEnd w:id="44"/>
      <w:r>
        <w:rPr>
          <w:rFonts w:ascii="仿宋_GB2312" w:eastAsia="仿宋_GB2312" w:cs="仿宋_GB2312"/>
          <w:b/>
          <w:bCs/>
          <w:sz w:val="32"/>
          <w:szCs w:val="32"/>
        </w:rPr>
        <w:t>.</w:t>
      </w:r>
      <w:r>
        <w:rPr>
          <w:rFonts w:ascii="仿宋_GB2312" w:eastAsia="仿宋_GB2312" w:cs="仿宋_GB2312" w:hint="eastAsia"/>
          <w:sz w:val="32"/>
          <w:szCs w:val="32"/>
        </w:rPr>
        <w:t>以现有的医疗卫生服务机构为主要依托，采用新型健康保障服务模式，</w:t>
      </w:r>
      <w:r>
        <w:rPr>
          <w:rFonts w:ascii="仿宋_GB2312" w:eastAsia="仿宋_GB2312" w:cs="仿宋_GB2312" w:hint="eastAsia"/>
          <w:kern w:val="44"/>
          <w:sz w:val="32"/>
          <w:szCs w:val="32"/>
        </w:rPr>
        <w:t>在各级公立中医医院、有条件的综合医院及专科医院建立“治未病”中心。</w:t>
      </w:r>
      <w:r>
        <w:rPr>
          <w:rFonts w:ascii="仿宋_GB2312" w:eastAsia="仿宋_GB2312" w:cs="仿宋_GB2312" w:hint="eastAsia"/>
          <w:sz w:val="32"/>
          <w:szCs w:val="32"/>
        </w:rPr>
        <w:t>开设中医养生保健门诊，在社区卫生服务机构建立“治未病”服务点，建立一批中医预防保健服务专门机构，形成中医特色预防保健服务网络。以“治未病”理念为核心，借鉴并结合健康管理经验和方法，建立以中医理论为指导，充分利用现代医学及其他多学科技术方法，开展针对人体健康状态动态辨识、评估、干预及其效果的动态再评估等“治未病”预防保健服务。</w:t>
      </w:r>
    </w:p>
    <w:p w:rsidR="00195273" w:rsidRDefault="004F4DE5" w:rsidP="0013485A">
      <w:pPr>
        <w:spacing w:line="540" w:lineRule="exact"/>
        <w:ind w:firstLineChars="200" w:firstLine="643"/>
        <w:rPr>
          <w:rFonts w:ascii="仿宋_GB2312" w:eastAsia="仿宋_GB2312" w:cs="Times New Roman"/>
          <w:kern w:val="44"/>
          <w:sz w:val="32"/>
          <w:szCs w:val="32"/>
        </w:rPr>
      </w:pPr>
      <w:bookmarkStart w:id="45" w:name="_Toc415615294"/>
      <w:r>
        <w:rPr>
          <w:rFonts w:ascii="仿宋_GB2312" w:eastAsia="仿宋_GB2312" w:cs="仿宋_GB2312"/>
          <w:b/>
          <w:bCs/>
          <w:sz w:val="32"/>
          <w:szCs w:val="32"/>
        </w:rPr>
        <w:t>3</w:t>
      </w:r>
      <w:r>
        <w:rPr>
          <w:rFonts w:ascii="仿宋_GB2312" w:eastAsia="仿宋_GB2312" w:cs="仿宋_GB2312" w:hint="eastAsia"/>
          <w:b/>
          <w:bCs/>
          <w:sz w:val="32"/>
          <w:szCs w:val="32"/>
        </w:rPr>
        <w:t>．加强中医养生保健文化建设，打造中药产业链</w:t>
      </w:r>
      <w:bookmarkEnd w:id="45"/>
      <w:r>
        <w:rPr>
          <w:rFonts w:ascii="仿宋_GB2312" w:eastAsia="仿宋_GB2312" w:cs="仿宋_GB2312" w:hint="eastAsia"/>
          <w:b/>
          <w:bCs/>
          <w:sz w:val="32"/>
          <w:szCs w:val="32"/>
        </w:rPr>
        <w:t>。</w:t>
      </w:r>
      <w:r>
        <w:rPr>
          <w:rFonts w:ascii="仿宋_GB2312" w:eastAsia="仿宋_GB2312" w:cs="仿宋_GB2312" w:hint="eastAsia"/>
          <w:sz w:val="32"/>
          <w:szCs w:val="32"/>
        </w:rPr>
        <w:t>加强中医养生保健理论研究与普及力度，将养生法融入到“食养”、“水养”、“体养”、“文养”、“药养”之中。弘扬中华老字号品牌，传播中医药传统文化。引导药膳餐饮业和保健食品发展，充分挖掘我市食用菌、畲药、中草药等药食资源，加强全市中医药膳资源调查，整理汇总，编制丽水药膳指南和规范，形成标准化管理。把畲医药保护和发展纳入中医药发展专项规划，</w:t>
      </w:r>
      <w:r>
        <w:rPr>
          <w:rFonts w:ascii="仿宋_GB2312" w:eastAsia="仿宋_GB2312" w:cs="仿宋_GB2312" w:hint="eastAsia"/>
          <w:kern w:val="44"/>
          <w:sz w:val="32"/>
          <w:szCs w:val="32"/>
        </w:rPr>
        <w:t>加大畲医药养生的发掘、研究、包装的力度，发挥其丽水民族医药养生服务的特色。</w:t>
      </w:r>
      <w:r>
        <w:rPr>
          <w:rFonts w:ascii="仿宋_GB2312" w:eastAsia="仿宋_GB2312" w:cs="仿宋_GB2312" w:hint="eastAsia"/>
          <w:sz w:val="32"/>
          <w:szCs w:val="32"/>
        </w:rPr>
        <w:t>利用丽水资源丰富的茶叶、竹资源、菌菇等药食两用资源开发特色功能食品、保健食品和深加工产品，加大保健功能确切、市场需求量大的药食两用功能性食品的培育。重点培育凉茶系列、食用菌系列产品及畲药系列，大力开发中药产业的衍生产品，延伸中药产业链。</w:t>
      </w:r>
    </w:p>
    <w:p w:rsidR="00195273" w:rsidRDefault="004F4DE5" w:rsidP="0013485A">
      <w:pPr>
        <w:spacing w:line="540" w:lineRule="exact"/>
        <w:ind w:firstLineChars="200" w:firstLine="643"/>
        <w:rPr>
          <w:rFonts w:ascii="仿宋_GB2312" w:eastAsia="仿宋_GB2312" w:cs="Times New Roman"/>
          <w:kern w:val="44"/>
          <w:sz w:val="32"/>
          <w:szCs w:val="32"/>
        </w:rPr>
      </w:pPr>
      <w:bookmarkStart w:id="46" w:name="_Toc415615295"/>
      <w:r>
        <w:rPr>
          <w:rFonts w:ascii="仿宋_GB2312" w:eastAsia="仿宋_GB2312" w:cs="仿宋_GB2312"/>
          <w:b/>
          <w:bCs/>
          <w:sz w:val="32"/>
          <w:szCs w:val="32"/>
        </w:rPr>
        <w:t>4</w:t>
      </w:r>
      <w:r>
        <w:rPr>
          <w:rFonts w:ascii="仿宋_GB2312" w:eastAsia="仿宋_GB2312" w:cs="仿宋_GB2312" w:hint="eastAsia"/>
          <w:b/>
          <w:bCs/>
          <w:sz w:val="32"/>
          <w:szCs w:val="32"/>
        </w:rPr>
        <w:t>．加强中医药文化基地建设</w:t>
      </w:r>
      <w:bookmarkEnd w:id="46"/>
      <w:r>
        <w:rPr>
          <w:rFonts w:ascii="仿宋_GB2312" w:eastAsia="仿宋_GB2312" w:cs="仿宋_GB2312" w:hint="eastAsia"/>
          <w:b/>
          <w:bCs/>
          <w:sz w:val="32"/>
          <w:szCs w:val="32"/>
        </w:rPr>
        <w:t>。</w:t>
      </w:r>
      <w:r>
        <w:rPr>
          <w:rFonts w:ascii="仿宋_GB2312" w:eastAsia="仿宋_GB2312" w:cs="仿宋_GB2312" w:hint="eastAsia"/>
          <w:sz w:val="32"/>
          <w:szCs w:val="32"/>
        </w:rPr>
        <w:t>充分发挥中医药医疗、旅游、科技、产业和文化等资源优势，将中医药文化资源和当地自然旅游资源相结合，进行深层次的挖掘开发，开创中医健康养生旅游新模</w:t>
      </w:r>
      <w:r>
        <w:rPr>
          <w:rFonts w:ascii="仿宋_GB2312" w:eastAsia="仿宋_GB2312" w:cs="仿宋_GB2312" w:hint="eastAsia"/>
          <w:sz w:val="32"/>
          <w:szCs w:val="32"/>
        </w:rPr>
        <w:lastRenderedPageBreak/>
        <w:t>式。努力打造一批集科技农业、名贵中药材种植、田园风情生态休闲旅游体验的养生观赏基地，</w:t>
      </w:r>
      <w:bookmarkStart w:id="47" w:name="_Toc415615296"/>
      <w:r>
        <w:rPr>
          <w:rFonts w:ascii="仿宋_GB2312" w:eastAsia="仿宋_GB2312" w:cs="仿宋_GB2312" w:hint="eastAsia"/>
          <w:kern w:val="44"/>
          <w:sz w:val="32"/>
          <w:szCs w:val="32"/>
        </w:rPr>
        <w:t>通过中医医疗机构、中（畲）医药博物馆、养生馆、药膳馆等形式，开展中（畲）医特色治疗、康复理疗、针灸推拿、药膳等服务项目，努力建成以“中医治未病、康复理疗、养生保健、药膳食疗”为核心的中医药文化养生旅游基地。</w:t>
      </w:r>
    </w:p>
    <w:p w:rsidR="00195273" w:rsidRDefault="004F4DE5" w:rsidP="0013485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（五）生态休闲养生（老）</w:t>
      </w:r>
      <w:bookmarkEnd w:id="47"/>
    </w:p>
    <w:p w:rsidR="00195273" w:rsidRDefault="004F4DE5" w:rsidP="0013485A">
      <w:pPr>
        <w:pStyle w:val="ListParagraph1"/>
        <w:spacing w:line="540" w:lineRule="exact"/>
        <w:ind w:firstLine="640"/>
        <w:rPr>
          <w:rFonts w:ascii="仿宋_GB2312" w:eastAsia="仿宋_GB2312" w:cs="Times New Roman"/>
          <w:sz w:val="32"/>
          <w:szCs w:val="32"/>
        </w:rPr>
      </w:pPr>
      <w:r>
        <w:rPr>
          <w:rFonts w:ascii="仿宋_GB2312" w:eastAsia="仿宋_GB2312" w:cs="仿宋_GB2312" w:hint="eastAsia"/>
          <w:sz w:val="32"/>
          <w:szCs w:val="32"/>
        </w:rPr>
        <w:t>紧抓“休闲时代”和“老年社会”客观趋势带来的市场需求和发展空间，大力发展以“养”为特色的养生养老产业。以生态环境为基础，以市场需求为导向，以养生（养老）基地、休闲旅游景区、养生乡村建设为切入点，以养生（养老）服务业为主导，以相关生态型产业为支撑，适应消费结构升级趋势，把丽水建设成国内外知名的生态休闲养生（养老）基地和休闲养生旅游目的地，力争打造“中国生态休闲养生（养老）第一市”。</w:t>
      </w:r>
    </w:p>
    <w:p w:rsidR="00195273" w:rsidRDefault="004F4DE5" w:rsidP="0013485A">
      <w:pPr>
        <w:numPr>
          <w:ilvl w:val="0"/>
          <w:numId w:val="1"/>
        </w:numPr>
        <w:spacing w:line="540" w:lineRule="exact"/>
        <w:ind w:firstLineChars="200" w:firstLine="643"/>
        <w:rPr>
          <w:rFonts w:ascii="仿宋_GB2312" w:eastAsia="仿宋_GB2312" w:cs="Times New Roman"/>
          <w:sz w:val="32"/>
          <w:szCs w:val="32"/>
        </w:rPr>
      </w:pPr>
      <w:bookmarkStart w:id="48" w:name="_Toc415615297"/>
      <w:r>
        <w:rPr>
          <w:rFonts w:ascii="仿宋_GB2312" w:eastAsia="仿宋_GB2312" w:cs="仿宋_GB2312" w:hint="eastAsia"/>
          <w:b/>
          <w:bCs/>
          <w:sz w:val="32"/>
          <w:szCs w:val="32"/>
        </w:rPr>
        <w:t>加快形成生态休闲养生（老）产业新格局</w:t>
      </w:r>
      <w:bookmarkEnd w:id="48"/>
      <w:r>
        <w:rPr>
          <w:rFonts w:ascii="仿宋_GB2312" w:eastAsia="仿宋_GB2312" w:cs="仿宋_GB2312" w:hint="eastAsia"/>
          <w:b/>
          <w:bCs/>
          <w:sz w:val="32"/>
          <w:szCs w:val="32"/>
        </w:rPr>
        <w:t>。</w:t>
      </w:r>
      <w:r>
        <w:rPr>
          <w:rFonts w:ascii="仿宋_GB2312" w:eastAsia="仿宋_GB2312" w:cs="仿宋_GB2312" w:hint="eastAsia"/>
          <w:sz w:val="32"/>
          <w:szCs w:val="32"/>
        </w:rPr>
        <w:t>着眼于经济新常态背景，以改革创新为动力，以推动产业升级和加快经济转型为主线，打造丽水市生态休闲养生（养老）产业的中心高地，努力提升各县（市、区）生态休闲养生（养老）产业发展水平。坚持突出重点，以点带面，集中突破，整体推进，通过重大项目的带动、重点行业的提升、重点区域的发展、重点企业的培育，着力构筑“一心八片”的生态休闲养生（养老）产业格局：打造一个生态休闲养生（养老）产业中心（市区），构建八大适应市场、各具特色、错位发展、互为依托的生态休闲养生（养老）产业功能片区，加快形成丽水市生态休闲养生（养老）产业新格局。</w:t>
      </w:r>
    </w:p>
    <w:p w:rsidR="00195273" w:rsidRDefault="004F4DE5" w:rsidP="0013485A">
      <w:pPr>
        <w:numPr>
          <w:ilvl w:val="0"/>
          <w:numId w:val="1"/>
        </w:numPr>
        <w:spacing w:line="540" w:lineRule="exact"/>
        <w:ind w:firstLineChars="200" w:firstLine="643"/>
        <w:rPr>
          <w:rFonts w:ascii="仿宋_GB2312" w:eastAsia="仿宋_GB2312" w:cs="Times New Roman"/>
          <w:sz w:val="32"/>
          <w:szCs w:val="32"/>
        </w:rPr>
      </w:pPr>
      <w:bookmarkStart w:id="49" w:name="_Toc415615298"/>
      <w:r>
        <w:rPr>
          <w:rFonts w:ascii="仿宋_GB2312" w:eastAsia="仿宋_GB2312" w:cs="仿宋_GB2312" w:hint="eastAsia"/>
          <w:b/>
          <w:bCs/>
          <w:sz w:val="32"/>
          <w:szCs w:val="32"/>
        </w:rPr>
        <w:t>着力构筑生态休闲养生（老）产业体系与发展平台</w:t>
      </w:r>
      <w:bookmarkEnd w:id="49"/>
      <w:r>
        <w:rPr>
          <w:rFonts w:ascii="仿宋_GB2312" w:eastAsia="仿宋_GB2312" w:cs="仿宋_GB2312" w:hint="eastAsia"/>
          <w:b/>
          <w:bCs/>
          <w:sz w:val="32"/>
          <w:szCs w:val="32"/>
        </w:rPr>
        <w:t>。</w:t>
      </w:r>
      <w:r>
        <w:rPr>
          <w:rFonts w:ascii="仿宋_GB2312" w:eastAsia="仿宋_GB2312" w:cs="仿宋_GB2312" w:hint="eastAsia"/>
          <w:sz w:val="32"/>
          <w:szCs w:val="32"/>
        </w:rPr>
        <w:t>重点发展生态休闲旅游业、养生（养老）房产业、养生（养老）文化业、养生（养老）医疗与保健业、养生（养老）教育培训业、生态养生</w:t>
      </w:r>
      <w:r>
        <w:rPr>
          <w:rFonts w:ascii="仿宋_GB2312" w:eastAsia="仿宋_GB2312" w:cs="仿宋_GB2312" w:hint="eastAsia"/>
          <w:sz w:val="32"/>
          <w:szCs w:val="32"/>
        </w:rPr>
        <w:lastRenderedPageBreak/>
        <w:t>农业、生态养生林业等产业，逐步构建生态休闲养生产业体系。以休闲旅游景区、养生（养老）基地、养生乡村三大平台为依托，按照休闲旅游景区转型升级、养生（养老）基地示范先行、养生乡村扩面提质的思路，逐步开发建设一批特色鲜明、错位发展的行业引领性养生（养老）基地项目，探索“候鸟式”、“体验式”</w:t>
      </w:r>
      <w:r>
        <w:rPr>
          <w:rFonts w:ascii="仿宋_GB2312" w:eastAsia="仿宋_GB2312" w:cs="Times New Roman" w:hint="eastAsia"/>
          <w:sz w:val="32"/>
          <w:szCs w:val="32"/>
        </w:rPr>
        <w:t>等养生</w:t>
      </w:r>
      <w:r>
        <w:rPr>
          <w:rFonts w:ascii="仿宋_GB2312" w:eastAsia="仿宋_GB2312" w:cs="仿宋_GB2312" w:hint="eastAsia"/>
          <w:sz w:val="32"/>
          <w:szCs w:val="32"/>
        </w:rPr>
        <w:t>（养老）新模式，鼓励发展连锁性养生（养老）服务，构建集旅游观光、康复疗养、休闲娱乐等功能于一体的度假式养生（养老）基地服务网络。</w:t>
      </w:r>
    </w:p>
    <w:p w:rsidR="00195273" w:rsidRDefault="004F4DE5" w:rsidP="0013485A">
      <w:pPr>
        <w:numPr>
          <w:ilvl w:val="0"/>
          <w:numId w:val="1"/>
        </w:numPr>
        <w:spacing w:line="540" w:lineRule="exact"/>
        <w:ind w:firstLineChars="200" w:firstLine="643"/>
        <w:rPr>
          <w:rFonts w:ascii="仿宋_GB2312" w:eastAsia="仿宋_GB2312" w:cs="Times New Roman"/>
          <w:sz w:val="32"/>
          <w:szCs w:val="32"/>
        </w:rPr>
      </w:pPr>
      <w:bookmarkStart w:id="50" w:name="_Toc415615299"/>
      <w:r>
        <w:rPr>
          <w:rFonts w:ascii="仿宋_GB2312" w:eastAsia="仿宋_GB2312" w:cs="仿宋_GB2312" w:hint="eastAsia"/>
          <w:b/>
          <w:bCs/>
          <w:sz w:val="32"/>
          <w:szCs w:val="32"/>
        </w:rPr>
        <w:t>加快推进生态休闲养生与健康医疗</w:t>
      </w:r>
      <w:bookmarkEnd w:id="50"/>
      <w:r>
        <w:rPr>
          <w:rFonts w:ascii="仿宋_GB2312" w:eastAsia="仿宋_GB2312" w:cs="仿宋_GB2312" w:hint="eastAsia"/>
          <w:b/>
          <w:bCs/>
          <w:sz w:val="32"/>
          <w:szCs w:val="32"/>
        </w:rPr>
        <w:t>融合发展。</w:t>
      </w:r>
      <w:r>
        <w:rPr>
          <w:rFonts w:ascii="仿宋_GB2312" w:eastAsia="仿宋_GB2312" w:cs="仿宋_GB2312" w:hint="eastAsia"/>
          <w:sz w:val="32"/>
          <w:szCs w:val="32"/>
        </w:rPr>
        <w:t>综合利用生态、人文、养生等资源优势，坚持传统方法和科学理念相结合，鼓励针对不同人群的个性需求，开发温泉养生、中（畲）医药养生、避暑度假养生、美食养生、森林浴养生、运动养生、民俗文化体验等特色养生产品，逐渐培育形成“食养、药养、水养、体养、文养、气养”等一批类型丰富、优势明显、吸引力强的特色养生品牌，大力推进“养老与医疗相结合”的养护型养老机构建设，积极引导有条件的健康医药企业以及中药材种植加工、食用菌生产研发等养生优势项目（基地），开展游客接待、养生体验和服务功能，建设中高端“医疗康复</w:t>
      </w:r>
      <w:r>
        <w:rPr>
          <w:rFonts w:ascii="仿宋_GB2312" w:eastAsia="仿宋_GB2312" w:cs="仿宋_GB2312"/>
          <w:sz w:val="32"/>
          <w:szCs w:val="32"/>
        </w:rPr>
        <w:t>-</w:t>
      </w:r>
      <w:r>
        <w:rPr>
          <w:rFonts w:ascii="仿宋_GB2312" w:eastAsia="仿宋_GB2312" w:cs="仿宋_GB2312" w:hint="eastAsia"/>
          <w:sz w:val="32"/>
          <w:szCs w:val="32"/>
        </w:rPr>
        <w:t>养老养生</w:t>
      </w:r>
      <w:r>
        <w:rPr>
          <w:rFonts w:ascii="仿宋_GB2312" w:eastAsia="仿宋_GB2312" w:cs="仿宋_GB2312"/>
          <w:sz w:val="32"/>
          <w:szCs w:val="32"/>
        </w:rPr>
        <w:t>-</w:t>
      </w:r>
      <w:r>
        <w:rPr>
          <w:rFonts w:ascii="仿宋_GB2312" w:eastAsia="仿宋_GB2312" w:cs="仿宋_GB2312" w:hint="eastAsia"/>
          <w:sz w:val="32"/>
          <w:szCs w:val="32"/>
        </w:rPr>
        <w:t>旅游度假”综合体项目，创建一批医养结合示范基地。</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51" w:name="_Toc24348"/>
      <w:bookmarkStart w:id="52" w:name="_Toc415615300"/>
      <w:r>
        <w:rPr>
          <w:rFonts w:ascii="仿宋_GB2312" w:eastAsia="仿宋_GB2312" w:cs="仿宋_GB2312" w:hint="eastAsia"/>
        </w:rPr>
        <w:t>（六）健康旅游与文化</w:t>
      </w:r>
      <w:bookmarkEnd w:id="51"/>
      <w:bookmarkEnd w:id="52"/>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t>充分利用我市休闲旅游景区与养生（养老）基地建设，整合资源强化健康功能，大力开发健康旅游。鼓励优质医疗机构与旅游服务机构合作开发健康旅游产品和服务，不断开拓国内外健康旅游市场。推动医疗、中医养生保健、体育健身等与旅游的联动发展，打造国家健康旅游高地。依托优质医疗资源与重点生态功能区，推进建设庆元</w:t>
      </w:r>
      <w:r>
        <w:rPr>
          <w:rFonts w:ascii="仿宋_GB2312" w:eastAsia="仿宋_GB2312" w:hAnsi="Calibri" w:cs="Calibri"/>
          <w:color w:val="auto"/>
          <w:kern w:val="2"/>
          <w:sz w:val="32"/>
          <w:szCs w:val="32"/>
        </w:rPr>
        <w:t>—</w:t>
      </w:r>
      <w:r>
        <w:rPr>
          <w:rFonts w:ascii="仿宋_GB2312" w:eastAsia="仿宋_GB2312" w:hAnsi="Calibri" w:cs="仿宋_GB2312" w:hint="eastAsia"/>
          <w:color w:val="auto"/>
          <w:kern w:val="2"/>
          <w:sz w:val="32"/>
          <w:szCs w:val="32"/>
        </w:rPr>
        <w:t>景宁</w:t>
      </w:r>
      <w:r>
        <w:rPr>
          <w:rFonts w:ascii="仿宋_GB2312" w:eastAsia="仿宋_GB2312" w:hAnsi="Calibri" w:cs="Calibri"/>
          <w:color w:val="auto"/>
          <w:kern w:val="2"/>
          <w:sz w:val="32"/>
          <w:szCs w:val="32"/>
        </w:rPr>
        <w:t>—</w:t>
      </w:r>
      <w:r>
        <w:rPr>
          <w:rFonts w:ascii="仿宋_GB2312" w:eastAsia="仿宋_GB2312" w:hAnsi="Calibri" w:cs="仿宋_GB2312" w:hint="eastAsia"/>
          <w:color w:val="auto"/>
          <w:kern w:val="2"/>
          <w:sz w:val="32"/>
          <w:szCs w:val="32"/>
        </w:rPr>
        <w:t>文成</w:t>
      </w:r>
      <w:r>
        <w:rPr>
          <w:rFonts w:ascii="仿宋_GB2312" w:eastAsia="仿宋_GB2312" w:hAnsi="Calibri" w:cs="Calibri"/>
          <w:color w:val="auto"/>
          <w:kern w:val="2"/>
          <w:sz w:val="32"/>
          <w:szCs w:val="32"/>
        </w:rPr>
        <w:t>—</w:t>
      </w:r>
      <w:r>
        <w:rPr>
          <w:rFonts w:ascii="仿宋_GB2312" w:eastAsia="仿宋_GB2312" w:hAnsi="Calibri" w:cs="仿宋_GB2312" w:hint="eastAsia"/>
          <w:color w:val="auto"/>
          <w:kern w:val="2"/>
          <w:sz w:val="32"/>
          <w:szCs w:val="32"/>
        </w:rPr>
        <w:t>泰顺等区域性健康旅游区，大力开发延年</w:t>
      </w:r>
      <w:r>
        <w:rPr>
          <w:rFonts w:ascii="仿宋_GB2312" w:eastAsia="仿宋_GB2312" w:hAnsi="Calibri" w:cs="仿宋_GB2312" w:hint="eastAsia"/>
          <w:color w:val="auto"/>
          <w:kern w:val="2"/>
          <w:sz w:val="32"/>
          <w:szCs w:val="32"/>
        </w:rPr>
        <w:lastRenderedPageBreak/>
        <w:t>益寿、强身健体、医疗复健、修身养性等专项旅游产品，加快各县市休闲旅游与健康服务资源整合提升。</w:t>
      </w:r>
    </w:p>
    <w:p w:rsidR="00195273" w:rsidRDefault="004F4DE5" w:rsidP="0013485A">
      <w:pPr>
        <w:spacing w:line="540" w:lineRule="exact"/>
        <w:ind w:firstLineChars="200" w:firstLine="643"/>
        <w:rPr>
          <w:rFonts w:ascii="仿宋_GB2312" w:eastAsia="仿宋_GB2312" w:cs="Times New Roman"/>
          <w:sz w:val="32"/>
          <w:szCs w:val="32"/>
        </w:rPr>
      </w:pPr>
      <w:bookmarkStart w:id="53" w:name="_Toc415615301"/>
      <w:r>
        <w:rPr>
          <w:rFonts w:ascii="仿宋_GB2312" w:eastAsia="仿宋_GB2312" w:cs="仿宋_GB2312"/>
          <w:b/>
          <w:bCs/>
          <w:sz w:val="32"/>
          <w:szCs w:val="32"/>
        </w:rPr>
        <w:t>1</w:t>
      </w:r>
      <w:r>
        <w:rPr>
          <w:rFonts w:ascii="仿宋_GB2312" w:eastAsia="仿宋_GB2312" w:cs="仿宋_GB2312" w:hint="eastAsia"/>
          <w:b/>
          <w:bCs/>
          <w:sz w:val="32"/>
          <w:szCs w:val="32"/>
        </w:rPr>
        <w:t>．“</w:t>
      </w:r>
      <w:r>
        <w:rPr>
          <w:rFonts w:ascii="仿宋_GB2312" w:eastAsia="仿宋_GB2312" w:cs="仿宋_GB2312"/>
          <w:b/>
          <w:bCs/>
          <w:sz w:val="32"/>
          <w:szCs w:val="32"/>
        </w:rPr>
        <w:t>IT+</w:t>
      </w:r>
      <w:r>
        <w:rPr>
          <w:rFonts w:ascii="仿宋_GB2312" w:eastAsia="仿宋_GB2312" w:cs="仿宋_GB2312" w:hint="eastAsia"/>
          <w:b/>
          <w:bCs/>
          <w:sz w:val="32"/>
          <w:szCs w:val="32"/>
        </w:rPr>
        <w:t>健康</w:t>
      </w:r>
      <w:r>
        <w:rPr>
          <w:rFonts w:ascii="仿宋_GB2312" w:eastAsia="仿宋_GB2312" w:cs="仿宋_GB2312"/>
          <w:b/>
          <w:bCs/>
          <w:sz w:val="32"/>
          <w:szCs w:val="32"/>
        </w:rPr>
        <w:t>+</w:t>
      </w:r>
      <w:r>
        <w:rPr>
          <w:rFonts w:ascii="仿宋_GB2312" w:eastAsia="仿宋_GB2312" w:cs="仿宋_GB2312" w:hint="eastAsia"/>
          <w:b/>
          <w:bCs/>
          <w:sz w:val="32"/>
          <w:szCs w:val="32"/>
        </w:rPr>
        <w:t>旅游”模式</w:t>
      </w:r>
      <w:bookmarkEnd w:id="53"/>
      <w:r>
        <w:rPr>
          <w:rFonts w:ascii="仿宋_GB2312" w:eastAsia="仿宋_GB2312" w:cs="仿宋_GB2312" w:hint="eastAsia"/>
          <w:b/>
          <w:bCs/>
          <w:sz w:val="32"/>
          <w:szCs w:val="32"/>
        </w:rPr>
        <w:t>。</w:t>
      </w:r>
      <w:r>
        <w:rPr>
          <w:rFonts w:ascii="仿宋_GB2312" w:eastAsia="仿宋_GB2312" w:cs="仿宋_GB2312" w:hint="eastAsia"/>
          <w:sz w:val="32"/>
          <w:szCs w:val="32"/>
        </w:rPr>
        <w:t>提升我市休闲养生旅游区的健康管理功能，在一些景区或旅游地，利用网络给游客带来贴心的服务。帮助游客完成寻名医、挂号及病后康复等一系列整体健康管理。以网络平台、会员制的组织形式，对游客的生活起居等一系列生活方式做出合理安排，并根据需要提供营养餐的配送、健康检查、运动健身等系列活动，从而使游客身体上获得健康维护和健康促进。</w:t>
      </w:r>
    </w:p>
    <w:p w:rsidR="00195273" w:rsidRDefault="004F4DE5" w:rsidP="0013485A">
      <w:pPr>
        <w:spacing w:line="540" w:lineRule="exact"/>
        <w:ind w:firstLineChars="200" w:firstLine="643"/>
        <w:rPr>
          <w:rFonts w:ascii="仿宋_GB2312" w:eastAsia="仿宋_GB2312" w:cs="Times New Roman"/>
          <w:sz w:val="32"/>
          <w:szCs w:val="32"/>
        </w:rPr>
      </w:pPr>
      <w:bookmarkStart w:id="54" w:name="_Toc415615302"/>
      <w:r>
        <w:rPr>
          <w:rFonts w:ascii="仿宋_GB2312" w:eastAsia="仿宋_GB2312" w:cs="仿宋_GB2312"/>
          <w:b/>
          <w:bCs/>
          <w:sz w:val="32"/>
          <w:szCs w:val="32"/>
        </w:rPr>
        <w:t>2</w:t>
      </w:r>
      <w:r>
        <w:rPr>
          <w:rFonts w:ascii="仿宋_GB2312" w:eastAsia="仿宋_GB2312" w:cs="仿宋_GB2312" w:hint="eastAsia"/>
          <w:b/>
          <w:bCs/>
          <w:sz w:val="32"/>
          <w:szCs w:val="32"/>
        </w:rPr>
        <w:t>．医疗旅游模式</w:t>
      </w:r>
      <w:bookmarkEnd w:id="54"/>
      <w:r>
        <w:rPr>
          <w:rFonts w:ascii="仿宋_GB2312" w:eastAsia="仿宋_GB2312" w:cs="仿宋_GB2312" w:hint="eastAsia"/>
          <w:b/>
          <w:bCs/>
          <w:sz w:val="32"/>
          <w:szCs w:val="32"/>
        </w:rPr>
        <w:t>。</w:t>
      </w:r>
      <w:r>
        <w:rPr>
          <w:rFonts w:ascii="仿宋_GB2312" w:eastAsia="仿宋_GB2312" w:cs="仿宋_GB2312" w:hint="eastAsia"/>
          <w:sz w:val="32"/>
          <w:szCs w:val="32"/>
        </w:rPr>
        <w:t>医疗旅游是通过把优质的医疗服务与养生康复休闲相结合的一种全新的养生旅游开发模式，它需要一定的医疗条件和医疗技术作为支撑，同时作为一种旅游养生方式，除了需要配备一定数量和较高水平的医疗人员外，还需要具有医疗专业知识技能的导游服务，为外地甚至国外游客提供交通食宿、医疗检查和观光旅游等一条龙服务。</w:t>
      </w:r>
    </w:p>
    <w:p w:rsidR="00195273" w:rsidRDefault="004F4DE5" w:rsidP="0013485A">
      <w:pPr>
        <w:spacing w:line="540" w:lineRule="exact"/>
        <w:ind w:firstLineChars="200" w:firstLine="643"/>
        <w:rPr>
          <w:rFonts w:ascii="仿宋_GB2312" w:eastAsia="仿宋_GB2312" w:cs="Times New Roman"/>
          <w:sz w:val="32"/>
          <w:szCs w:val="32"/>
        </w:rPr>
      </w:pPr>
      <w:bookmarkStart w:id="55" w:name="_Toc415615303"/>
      <w:r>
        <w:rPr>
          <w:rFonts w:ascii="仿宋_GB2312" w:eastAsia="仿宋_GB2312" w:cs="仿宋_GB2312"/>
          <w:b/>
          <w:bCs/>
          <w:sz w:val="32"/>
          <w:szCs w:val="32"/>
        </w:rPr>
        <w:t>3</w:t>
      </w:r>
      <w:r>
        <w:rPr>
          <w:rFonts w:ascii="仿宋_GB2312" w:eastAsia="仿宋_GB2312" w:cs="仿宋_GB2312" w:hint="eastAsia"/>
          <w:b/>
          <w:bCs/>
          <w:sz w:val="32"/>
          <w:szCs w:val="32"/>
        </w:rPr>
        <w:t>．健身俱乐部模式</w:t>
      </w:r>
      <w:bookmarkEnd w:id="55"/>
      <w:r>
        <w:rPr>
          <w:rFonts w:ascii="仿宋_GB2312" w:eastAsia="仿宋_GB2312" w:cs="仿宋_GB2312" w:hint="eastAsia"/>
          <w:b/>
          <w:bCs/>
          <w:sz w:val="32"/>
          <w:szCs w:val="32"/>
        </w:rPr>
        <w:t>。</w:t>
      </w:r>
      <w:r>
        <w:rPr>
          <w:rFonts w:ascii="仿宋_GB2312" w:eastAsia="仿宋_GB2312" w:cs="仿宋_GB2312" w:hint="eastAsia"/>
          <w:sz w:val="32"/>
          <w:szCs w:val="32"/>
        </w:rPr>
        <w:t>以会员形式或出售消费卡的形式，依托主打旅游资源和产品，把一系列的养生休闲旅游活动，特别是健身旅游项目包装组合形成一个整体的开发模式。这种开发模式可以某一旅游目的地为基地，结合自助游模式，通过旅游项目的灵活组合和包装的方式，延伸至周边景区（点），从而扩大健身休闲活动的地域空间，并形成吸引力较强的多样化旅游产品。</w:t>
      </w:r>
    </w:p>
    <w:p w:rsidR="00195273" w:rsidRDefault="004F4DE5" w:rsidP="0013485A">
      <w:pPr>
        <w:spacing w:line="540" w:lineRule="exact"/>
        <w:ind w:firstLineChars="200" w:firstLine="643"/>
        <w:rPr>
          <w:rFonts w:ascii="仿宋_GB2312" w:eastAsia="仿宋_GB2312" w:cs="Times New Roman"/>
          <w:sz w:val="32"/>
          <w:szCs w:val="32"/>
        </w:rPr>
      </w:pPr>
      <w:bookmarkStart w:id="56" w:name="_Toc415615304"/>
      <w:r>
        <w:rPr>
          <w:rFonts w:ascii="仿宋_GB2312" w:eastAsia="仿宋_GB2312" w:cs="仿宋_GB2312"/>
          <w:b/>
          <w:bCs/>
          <w:sz w:val="32"/>
          <w:szCs w:val="32"/>
        </w:rPr>
        <w:t>4</w:t>
      </w:r>
      <w:r>
        <w:rPr>
          <w:rFonts w:ascii="仿宋_GB2312" w:eastAsia="仿宋_GB2312" w:cs="仿宋_GB2312" w:hint="eastAsia"/>
          <w:b/>
          <w:bCs/>
          <w:sz w:val="32"/>
          <w:szCs w:val="32"/>
        </w:rPr>
        <w:t>．培育健康文化产业</w:t>
      </w:r>
      <w:bookmarkEnd w:id="56"/>
      <w:r>
        <w:rPr>
          <w:rFonts w:ascii="仿宋_GB2312" w:eastAsia="仿宋_GB2312" w:cs="仿宋_GB2312" w:hint="eastAsia"/>
          <w:b/>
          <w:bCs/>
          <w:sz w:val="32"/>
          <w:szCs w:val="32"/>
        </w:rPr>
        <w:t>。</w:t>
      </w:r>
      <w:r>
        <w:rPr>
          <w:rFonts w:ascii="仿宋_GB2312" w:eastAsia="仿宋_GB2312" w:cs="仿宋_GB2312" w:hint="eastAsia"/>
          <w:sz w:val="32"/>
          <w:szCs w:val="32"/>
        </w:rPr>
        <w:t>推动健康知识传播机构发展，加强健康文化传播与交流，支持创作健康文化精品、举办健康促进论坛等学术性和群众性健康文化活动。加强中医药文化遗产的保护和利用，鼓励开发特色医药文化资源。建立健全健康教育体系，充分发挥媒体健康教育功能，加强各类社会公益性健康教育平台建设。鼓励社会资本建设健康博物馆、药用植物园、中草药博览园等。充分挖掘</w:t>
      </w:r>
      <w:r>
        <w:rPr>
          <w:rFonts w:ascii="仿宋_GB2312" w:eastAsia="仿宋_GB2312" w:cs="仿宋_GB2312" w:hint="eastAsia"/>
          <w:sz w:val="32"/>
          <w:szCs w:val="32"/>
        </w:rPr>
        <w:lastRenderedPageBreak/>
        <w:t>丽水独特的人文资源和文化元素，依托瓯江文化“双十工程”和道教文化精髓，按照“项目带动、龙头企业主导、园区聚集、集群发展”的思路，以文化休闲养生为切入点，以文化产业园区建设为载体，以文化龙头企业培育为重点，积极发展独具特色的文化产业，努力把丽水建设成为具有鲜明健康文化特色的文化名城。</w:t>
      </w:r>
    </w:p>
    <w:p w:rsidR="00195273" w:rsidRDefault="004F4DE5" w:rsidP="0013485A">
      <w:pPr>
        <w:pStyle w:val="2"/>
        <w:spacing w:before="0" w:after="0" w:line="579" w:lineRule="exact"/>
        <w:ind w:firstLineChars="200" w:firstLine="643"/>
        <w:rPr>
          <w:rFonts w:ascii="楷体_GB2312" w:eastAsia="楷体_GB2312" w:hAnsi="Times New Roman" w:cs="Times New Roman"/>
        </w:rPr>
      </w:pPr>
      <w:bookmarkStart w:id="57" w:name="_Toc22770"/>
      <w:r>
        <w:rPr>
          <w:rFonts w:ascii="仿宋_GB2312" w:eastAsia="仿宋_GB2312" w:cs="仿宋_GB2312" w:hint="eastAsia"/>
        </w:rPr>
        <w:t>（七）</w:t>
      </w:r>
      <w:r>
        <w:rPr>
          <w:rFonts w:ascii="楷体_GB2312" w:eastAsia="楷体_GB2312" w:hAnsi="Times New Roman" w:cs="楷体_GB2312" w:hint="eastAsia"/>
        </w:rPr>
        <w:t>体育健身</w:t>
      </w:r>
      <w:bookmarkEnd w:id="57"/>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大力发展生态休闲体育产业。依托我市生态资源优势，重点发展体育生态休闲产业、体育文化创意产业，推动体育运动、居民休闲健身与生态资源相结合，建设环浙南运动休闲发展带，鼓励和支持各地因地制宜创建省级体育产业基地和国家级运动休闲示范区。依托重大体育设施和相关体育休闲运动基地，打造一批城市体育服务综合体，规划建设一批体育主题公园。大力培育健身休闲、竞赛表演、场馆服务、中介培训等体育服务业，培育体育产业投融资主体，完善体育产业投融资运行机制，建立体育产业多元化投融资策略，大力推动社会资本参与体育场馆的建设和运营管理，重点打造一批优秀体育俱乐部、示范场馆和品牌赛事，提高体育中心等重要体育场所的运行效率。加大政府购买体育健康服务力度，开展医保卡年度结余部分用于特定场所体育健康消费的试点，积极引导体育健身消费，促进经营性体育产业的发展，不断满足群众多元化的体育健身需求，深入落实我市全民健身计划，增强人民体质、提高全民素质和生活质量。</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58" w:name="_Toc10011"/>
      <w:bookmarkStart w:id="59" w:name="_Toc415615305"/>
      <w:r>
        <w:rPr>
          <w:rFonts w:ascii="仿宋_GB2312" w:eastAsia="仿宋_GB2312" w:cs="仿宋_GB2312" w:hint="eastAsia"/>
        </w:rPr>
        <w:t>（八）健康支撑产业</w:t>
      </w:r>
      <w:bookmarkEnd w:id="58"/>
      <w:bookmarkEnd w:id="59"/>
    </w:p>
    <w:p w:rsidR="00195273" w:rsidRDefault="004F4DE5" w:rsidP="0013485A">
      <w:pPr>
        <w:pStyle w:val="3"/>
        <w:widowControl/>
        <w:spacing w:before="0" w:after="0" w:line="540" w:lineRule="exact"/>
        <w:ind w:firstLineChars="200" w:firstLine="643"/>
        <w:rPr>
          <w:rFonts w:ascii="仿宋_GB2312" w:eastAsia="仿宋_GB2312" w:cs="Times New Roman"/>
        </w:rPr>
      </w:pPr>
      <w:bookmarkStart w:id="60" w:name="_Toc415615306"/>
      <w:r>
        <w:rPr>
          <w:rFonts w:ascii="仿宋_GB2312" w:eastAsia="仿宋_GB2312" w:cs="仿宋_GB2312"/>
        </w:rPr>
        <w:t>1</w:t>
      </w:r>
      <w:r>
        <w:rPr>
          <w:rFonts w:ascii="仿宋_GB2312" w:eastAsia="仿宋_GB2312" w:cs="仿宋_GB2312" w:hint="eastAsia"/>
        </w:rPr>
        <w:t>．生物医药</w:t>
      </w:r>
      <w:bookmarkEnd w:id="60"/>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利用丽水优越的自然资源和良好的生态条件，在坚持生态环保的前提下，按照“发挥优势、体现特色”思路，着力开发中成药、植物药，积极引进和培育一批技术领先、产品前景好的大型生物医</w:t>
      </w:r>
      <w:r>
        <w:rPr>
          <w:rFonts w:ascii="仿宋_GB2312" w:eastAsia="仿宋_GB2312" w:cs="仿宋_GB2312" w:hint="eastAsia"/>
          <w:sz w:val="32"/>
          <w:szCs w:val="32"/>
        </w:rPr>
        <w:lastRenderedPageBreak/>
        <w:t>药企业，努力开发创新药物、新型疫苗和新型制剂等生物医药新产品。努力建设规范化、标准化和现代化的中药原料生产、加工基地和物流中心，形成有影响力的生物医药生产基地，加快发展生物医药产业。依托现有中药材基地，走特色化、差异化发展之路，重点发展现代中药领域、生物技术药物等相关领域产品。</w:t>
      </w:r>
    </w:p>
    <w:p w:rsidR="00195273" w:rsidRDefault="004F4DE5" w:rsidP="0013485A">
      <w:pPr>
        <w:spacing w:line="54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w:t>
      </w:r>
      <w:r>
        <w:rPr>
          <w:rFonts w:ascii="仿宋_GB2312" w:eastAsia="仿宋_GB2312" w:cs="仿宋_GB2312"/>
          <w:b/>
          <w:bCs/>
          <w:sz w:val="32"/>
          <w:szCs w:val="32"/>
        </w:rPr>
        <w:t>1</w:t>
      </w:r>
      <w:r>
        <w:rPr>
          <w:rFonts w:ascii="仿宋_GB2312" w:eastAsia="仿宋_GB2312" w:cs="仿宋_GB2312" w:hint="eastAsia"/>
          <w:b/>
          <w:bCs/>
          <w:sz w:val="32"/>
          <w:szCs w:val="32"/>
        </w:rPr>
        <w:t>）现代中药。</w:t>
      </w:r>
      <w:r>
        <w:rPr>
          <w:rFonts w:ascii="仿宋_GB2312" w:eastAsia="仿宋_GB2312" w:cs="仿宋_GB2312" w:hint="eastAsia"/>
          <w:sz w:val="32"/>
          <w:szCs w:val="32"/>
        </w:rPr>
        <w:t>突出中药材提取、加工，继续做强中药饮片、中成药、原料药材、系列畲药、医药中间体等一系列成熟产品；着力开发用于治疗感冒、胃病等流行疾病以及心脑血管病、肿瘤、免疫功能性疾病等中药新药，若干疗效确切、安全性高、有效成分明确的中药制剂；开发新型中药制品及制药工艺设备，推进中药现代化，通过改变剂型、改变组方和应用固体速释、缓释、控释等现代制剂技术，发展新型的中成药主导产品，以及开发以增强免疫力、缓解衰老、辅助治疗三高等为重点的灵芝保健品、南瓜多糖、茶饮等保健食品。</w:t>
      </w:r>
    </w:p>
    <w:p w:rsidR="00195273" w:rsidRDefault="004F4DE5" w:rsidP="0013485A">
      <w:pPr>
        <w:spacing w:line="54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w:t>
      </w:r>
      <w:r>
        <w:rPr>
          <w:rFonts w:ascii="仿宋_GB2312" w:eastAsia="仿宋_GB2312" w:cs="仿宋_GB2312"/>
          <w:b/>
          <w:bCs/>
          <w:sz w:val="32"/>
          <w:szCs w:val="32"/>
        </w:rPr>
        <w:t>2</w:t>
      </w:r>
      <w:r>
        <w:rPr>
          <w:rFonts w:ascii="仿宋_GB2312" w:eastAsia="仿宋_GB2312" w:cs="仿宋_GB2312" w:hint="eastAsia"/>
          <w:b/>
          <w:bCs/>
          <w:sz w:val="32"/>
          <w:szCs w:val="32"/>
        </w:rPr>
        <w:t>）生物技术药物。</w:t>
      </w:r>
      <w:r>
        <w:rPr>
          <w:rFonts w:ascii="仿宋_GB2312" w:eastAsia="仿宋_GB2312" w:cs="仿宋_GB2312" w:hint="eastAsia"/>
          <w:sz w:val="32"/>
          <w:szCs w:val="32"/>
        </w:rPr>
        <w:t>紧跟世界生物技术发展前沿，结合国内外疾病防治需要，重点发展针对流感、疟疾、结核等重大或新发疾病的疫苗，同时研发针对肿瘤和免疫性疾病的新型药物。通过自主创新，开发自主产权的产品，抢占生物医药产业的制高点。</w:t>
      </w:r>
    </w:p>
    <w:p w:rsidR="00195273" w:rsidRDefault="004F4DE5" w:rsidP="0013485A">
      <w:pPr>
        <w:pStyle w:val="ListParagraph1"/>
        <w:spacing w:line="540" w:lineRule="exact"/>
        <w:ind w:firstLine="643"/>
        <w:rPr>
          <w:rFonts w:ascii="仿宋_GB2312" w:eastAsia="仿宋_GB2312" w:cs="Times New Roman"/>
          <w:sz w:val="32"/>
          <w:szCs w:val="32"/>
        </w:rPr>
      </w:pPr>
      <w:r>
        <w:rPr>
          <w:rFonts w:ascii="仿宋_GB2312" w:eastAsia="仿宋_GB2312" w:cs="仿宋_GB2312" w:hint="eastAsia"/>
          <w:b/>
          <w:bCs/>
          <w:sz w:val="32"/>
          <w:szCs w:val="32"/>
        </w:rPr>
        <w:t>（</w:t>
      </w:r>
      <w:r>
        <w:rPr>
          <w:rFonts w:ascii="仿宋_GB2312" w:eastAsia="仿宋_GB2312" w:cs="仿宋_GB2312"/>
          <w:b/>
          <w:bCs/>
          <w:sz w:val="32"/>
          <w:szCs w:val="32"/>
        </w:rPr>
        <w:t>3</w:t>
      </w:r>
      <w:r>
        <w:rPr>
          <w:rFonts w:ascii="仿宋_GB2312" w:eastAsia="仿宋_GB2312" w:cs="仿宋_GB2312" w:hint="eastAsia"/>
          <w:b/>
          <w:bCs/>
          <w:sz w:val="32"/>
          <w:szCs w:val="32"/>
        </w:rPr>
        <w:t>）积极培育拓展相关领域。</w:t>
      </w:r>
      <w:r>
        <w:rPr>
          <w:rFonts w:ascii="仿宋_GB2312" w:eastAsia="仿宋_GB2312" w:cs="仿宋_GB2312" w:hint="eastAsia"/>
          <w:sz w:val="32"/>
          <w:szCs w:val="32"/>
        </w:rPr>
        <w:t>积极培育引进生物医药产业相关领域高、新、特、优及未来前沿产品。进一步加大对药用生命保健产品的开发和引进；培育发展手术器械、体内植入材料和医用卫生材料；瞄准开发应用数字化和信息化技术的家庭用普及型医疗器械；探索研制基于物联网技术的新型“智慧医疗”产品。利用丽水市机电及装备制造业现有基础，积极引进和开发机械手、电子关节运动机等一系列的医疗康复辅具等。</w:t>
      </w:r>
    </w:p>
    <w:p w:rsidR="00195273" w:rsidRDefault="004F4DE5" w:rsidP="0013485A">
      <w:pPr>
        <w:pStyle w:val="3"/>
        <w:widowControl/>
        <w:spacing w:before="0" w:after="0" w:line="540" w:lineRule="exact"/>
        <w:ind w:firstLineChars="200" w:firstLine="643"/>
        <w:rPr>
          <w:rFonts w:ascii="仿宋_GB2312" w:eastAsia="仿宋_GB2312" w:cs="Times New Roman"/>
        </w:rPr>
      </w:pPr>
      <w:bookmarkStart w:id="61" w:name="_Toc415615307"/>
      <w:r>
        <w:rPr>
          <w:rFonts w:ascii="仿宋_GB2312" w:eastAsia="仿宋_GB2312" w:cs="仿宋_GB2312"/>
        </w:rPr>
        <w:lastRenderedPageBreak/>
        <w:t>2</w:t>
      </w:r>
      <w:r>
        <w:rPr>
          <w:rFonts w:ascii="仿宋_GB2312" w:eastAsia="仿宋_GB2312" w:cs="仿宋_GB2312" w:hint="eastAsia"/>
        </w:rPr>
        <w:t>．健康食品</w:t>
      </w:r>
      <w:bookmarkEnd w:id="61"/>
    </w:p>
    <w:p w:rsidR="00195273" w:rsidRDefault="004F4DE5" w:rsidP="0013485A">
      <w:pPr>
        <w:pStyle w:val="ListParagraph1"/>
        <w:spacing w:line="540" w:lineRule="exact"/>
        <w:ind w:firstLine="640"/>
        <w:rPr>
          <w:rFonts w:ascii="仿宋_GB2312" w:eastAsia="仿宋_GB2312" w:cs="Times New Roman"/>
          <w:sz w:val="32"/>
          <w:szCs w:val="32"/>
        </w:rPr>
      </w:pPr>
      <w:r>
        <w:rPr>
          <w:rFonts w:ascii="仿宋_GB2312" w:eastAsia="仿宋_GB2312" w:cs="仿宋_GB2312" w:hint="eastAsia"/>
          <w:sz w:val="32"/>
          <w:szCs w:val="32"/>
        </w:rPr>
        <w:t>推进健康食品业创新发展。充分利用丽水生态资源优势，加强传统保健食品品牌建设，深入挖掘亚健康营养补充食品、防老益寿食品等；探索无公害食品、绿色食品、森林食品的种植与生产，大力培育食用菌、果蔬、禽畜、茶叶、中药材等农产品加工业，着力开发休闲食品和保健食品等精深产品。重点发展保鲜食品、脱水食品、功能性制品和纯净水等休闲养生食品饮料，积极开发和推广茶食品、果蔬汁、复合汁、保健品、天然调味品等高附加值产品。积极开发和推广竹炭纤维、绿色养生茶等高附加值养生保健产品，特别要充分利用丽水丰富自然生态资源优势，重点深开发具有丽水特色、高科技含量的食用类高级生命保健品。利用生物工程技术，以营养科学为基础，着重开发以海洋生物、中医药、特色动植物为基础的新型保健食品，促进保健食品与养老服务业、美容美体业、医疗康复业融合，推进绿色食品生产基地和示范企业建设。</w:t>
      </w:r>
    </w:p>
    <w:p w:rsidR="00195273" w:rsidRDefault="004F4DE5" w:rsidP="0013485A">
      <w:pPr>
        <w:pStyle w:val="3"/>
        <w:widowControl/>
        <w:spacing w:before="0" w:after="0" w:line="540" w:lineRule="exact"/>
        <w:ind w:firstLineChars="200" w:firstLine="643"/>
        <w:rPr>
          <w:rFonts w:ascii="仿宋_GB2312" w:eastAsia="仿宋_GB2312" w:cs="Times New Roman"/>
        </w:rPr>
      </w:pPr>
      <w:bookmarkStart w:id="62" w:name="_Toc415615308"/>
      <w:r>
        <w:rPr>
          <w:rFonts w:ascii="仿宋_GB2312" w:eastAsia="仿宋_GB2312" w:cs="仿宋_GB2312"/>
        </w:rPr>
        <w:t>3</w:t>
      </w:r>
      <w:r>
        <w:rPr>
          <w:rFonts w:ascii="仿宋_GB2312" w:eastAsia="仿宋_GB2312" w:cs="仿宋_GB2312" w:hint="eastAsia"/>
        </w:rPr>
        <w:t>．健康用品</w:t>
      </w:r>
      <w:bookmarkEnd w:id="62"/>
    </w:p>
    <w:p w:rsidR="00195273" w:rsidRDefault="004F4DE5" w:rsidP="0013485A">
      <w:pPr>
        <w:pStyle w:val="ListParagraph1"/>
        <w:spacing w:line="540" w:lineRule="exact"/>
        <w:ind w:firstLine="640"/>
        <w:rPr>
          <w:rFonts w:ascii="仿宋_GB2312" w:eastAsia="仿宋_GB2312" w:cs="Times New Roman"/>
          <w:sz w:val="32"/>
          <w:szCs w:val="32"/>
        </w:rPr>
      </w:pPr>
      <w:r>
        <w:rPr>
          <w:rFonts w:ascii="仿宋_GB2312" w:eastAsia="仿宋_GB2312" w:cs="仿宋_GB2312" w:hint="eastAsia"/>
          <w:sz w:val="32"/>
          <w:szCs w:val="32"/>
        </w:rPr>
        <w:t>大力发展生态休闲健康用品。以现有骨干企业（纳爱斯、艾莱依）和主导产品（护肤品、羽绒服）为基础，抓住我国老龄市场扩大和健康需求巨大的有利时机，以“门类齐全、品种多样、生态健康”为发展导向，进一步提高产品技术含量和附加值，引进和吸聚一批国内外相关行业的优质企业及项目，努力打造一个规模巨大、产品齐全、质量领先的生态健康用品制造业基地。重点发展日用生态休闲用品、日用保健器具等相关领域产品，推广健康检测设备、治疗设备、家用健康治疗设备等生产、品牌建设；根据不同人群的需求，积极做好中医养生器械、养生保健品、养生文化产品的开发生产，如家用拔罐器、颈椎治疗仪、刮痧机、艾灸器、中药药枕、中药头套、中药药袋等。</w:t>
      </w:r>
    </w:p>
    <w:p w:rsidR="00195273" w:rsidRDefault="004F4DE5" w:rsidP="0013485A">
      <w:pPr>
        <w:pStyle w:val="ListParagraph1"/>
        <w:spacing w:line="540" w:lineRule="exact"/>
        <w:ind w:firstLine="640"/>
        <w:rPr>
          <w:rFonts w:ascii="仿宋_GB2312" w:eastAsia="仿宋_GB2312" w:cs="Times New Roman"/>
          <w:sz w:val="32"/>
          <w:szCs w:val="32"/>
        </w:rPr>
      </w:pPr>
      <w:r>
        <w:rPr>
          <w:rFonts w:ascii="仿宋_GB2312" w:eastAsia="仿宋_GB2312" w:cs="仿宋_GB2312" w:hint="eastAsia"/>
          <w:sz w:val="32"/>
          <w:szCs w:val="32"/>
        </w:rPr>
        <w:lastRenderedPageBreak/>
        <w:t>大力发展文化体育用品。以现有骨干企业（新云玩具、涛涛实业等）和主导产品（木制玩具、龙泉宝剑等）为基础，把握国内外文化体育用品制造业发展动态，抓住当前大力发展健康产业的重大机遇，以“定位高端、内涵丰富、设计先进”为导向，做大做强主导产业链，发展壮大一批销售规模大、示范带动力强的龙头企业，形成较大规模的文化体育用品制造业集聚区。</w:t>
      </w:r>
    </w:p>
    <w:p w:rsidR="00195273" w:rsidRDefault="004F4DE5" w:rsidP="0013485A">
      <w:pPr>
        <w:pStyle w:val="1"/>
        <w:widowControl/>
        <w:spacing w:before="0" w:after="0" w:line="540" w:lineRule="exact"/>
        <w:ind w:firstLineChars="200" w:firstLine="643"/>
        <w:rPr>
          <w:rStyle w:val="1Char"/>
          <w:rFonts w:ascii="仿宋_GB2312" w:eastAsia="仿宋_GB2312" w:cs="Times New Roman"/>
          <w:b/>
          <w:bCs/>
          <w:sz w:val="32"/>
          <w:szCs w:val="32"/>
        </w:rPr>
      </w:pPr>
      <w:bookmarkStart w:id="63" w:name="_Toc7375"/>
      <w:bookmarkStart w:id="64" w:name="_Toc415615309"/>
      <w:bookmarkStart w:id="65" w:name="_Toc415619219"/>
      <w:r>
        <w:rPr>
          <w:rStyle w:val="1Char"/>
          <w:rFonts w:ascii="仿宋_GB2312" w:eastAsia="仿宋_GB2312" w:cs="仿宋_GB2312" w:hint="eastAsia"/>
          <w:b/>
          <w:bCs/>
          <w:sz w:val="32"/>
          <w:szCs w:val="32"/>
        </w:rPr>
        <w:t>四、鼓励发展领域及主要任务</w:t>
      </w:r>
      <w:bookmarkEnd w:id="63"/>
      <w:bookmarkEnd w:id="64"/>
      <w:bookmarkEnd w:id="65"/>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66" w:name="_Toc415615310"/>
      <w:bookmarkStart w:id="67" w:name="_Toc8600"/>
      <w:bookmarkStart w:id="68" w:name="_Toc415619220"/>
      <w:r>
        <w:rPr>
          <w:rFonts w:ascii="仿宋_GB2312" w:eastAsia="仿宋_GB2312" w:cs="仿宋_GB2312" w:hint="eastAsia"/>
        </w:rPr>
        <w:t>（一）健康信息</w:t>
      </w:r>
      <w:bookmarkEnd w:id="66"/>
      <w:bookmarkEnd w:id="67"/>
      <w:bookmarkEnd w:id="68"/>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搭建健康信息服务基础框架。积极推进“政府统筹、社会参与”的健康信息服务发展新模式，运用大数据、云计算、物联网三大技术，强化制度、标准和安全三大体系，健全人口、电子健康档案和电子病历三大基础数据库，实现公共卫生、计划生育、医疗服务、医疗保障、药品管理、综合管理等六大业务应用，</w:t>
      </w:r>
      <w:r>
        <w:rPr>
          <w:rFonts w:ascii="仿宋_GB2312" w:eastAsia="仿宋_GB2312" w:cs="仿宋_GB2312" w:hint="eastAsia"/>
          <w:kern w:val="44"/>
          <w:sz w:val="32"/>
          <w:szCs w:val="32"/>
        </w:rPr>
        <w:t>建立丽水市</w:t>
      </w:r>
      <w:r>
        <w:rPr>
          <w:rFonts w:ascii="仿宋_GB2312" w:eastAsia="仿宋_GB2312"/>
          <w:kern w:val="44"/>
          <w:sz w:val="32"/>
          <w:szCs w:val="32"/>
        </w:rPr>
        <w:t>“</w:t>
      </w:r>
      <w:r>
        <w:rPr>
          <w:rFonts w:ascii="仿宋_GB2312" w:eastAsia="仿宋_GB2312" w:cs="仿宋_GB2312" w:hint="eastAsia"/>
          <w:kern w:val="44"/>
          <w:sz w:val="32"/>
          <w:szCs w:val="32"/>
        </w:rPr>
        <w:t>健康云</w:t>
      </w:r>
      <w:r>
        <w:rPr>
          <w:rFonts w:ascii="仿宋_GB2312" w:eastAsia="仿宋_GB2312"/>
          <w:kern w:val="44"/>
          <w:sz w:val="32"/>
          <w:szCs w:val="32"/>
        </w:rPr>
        <w:t>”</w:t>
      </w:r>
      <w:r>
        <w:rPr>
          <w:rFonts w:ascii="仿宋_GB2312" w:eastAsia="仿宋_GB2312" w:cs="仿宋_GB2312" w:hint="eastAsia"/>
          <w:kern w:val="44"/>
          <w:sz w:val="32"/>
          <w:szCs w:val="32"/>
        </w:rPr>
        <w:t>，提供开放、统一、优质、高效的健康信息服务。</w:t>
      </w:r>
      <w:r>
        <w:rPr>
          <w:rFonts w:ascii="仿宋_GB2312" w:eastAsia="仿宋_GB2312" w:cs="仿宋_GB2312" w:hint="eastAsia"/>
          <w:sz w:val="32"/>
          <w:szCs w:val="32"/>
        </w:rPr>
        <w:t>形成医疗保障、医疗服务、健康管理等互联互通、交换共享、有效协同的健康信息服务网络。</w:t>
      </w:r>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开发健康信息服务普惠项目。允许社会资本参与建设市县乡镇三级远程影像、心电、病理、检验等网络中心，整合远程医疗服务资源，提供会诊、影像诊断、心电诊断、病理诊断、监护、手术指导、教育等远程医学服务，探索发展网络医院。普及应用社会保障卡（居民健康卡），推进预约诊疗、诊间结算、在线咨询、交流互动等健康服务。逐步建立公开透明、规范运作、平等竞争的药品和医疗器械电子商务平台。</w:t>
      </w:r>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拓展健康信息服务新型业态。支持医疗卫生服务系统、健康管理机构与</w:t>
      </w:r>
      <w:r>
        <w:rPr>
          <w:rFonts w:ascii="仿宋_GB2312" w:eastAsia="仿宋_GB2312" w:cs="仿宋_GB2312"/>
          <w:sz w:val="32"/>
          <w:szCs w:val="32"/>
        </w:rPr>
        <w:t>IT</w:t>
      </w:r>
      <w:r>
        <w:rPr>
          <w:rFonts w:ascii="仿宋_GB2312" w:eastAsia="仿宋_GB2312" w:cs="仿宋_GB2312" w:hint="eastAsia"/>
          <w:sz w:val="32"/>
          <w:szCs w:val="32"/>
        </w:rPr>
        <w:t>企业、网络运营商等通过合作开发、联合建设、运营托管和政府购买服务等多种形式，发展“智慧健康服务”、“远程健</w:t>
      </w:r>
      <w:r>
        <w:rPr>
          <w:rFonts w:ascii="仿宋_GB2312" w:eastAsia="仿宋_GB2312" w:cs="仿宋_GB2312" w:hint="eastAsia"/>
          <w:sz w:val="32"/>
          <w:szCs w:val="32"/>
        </w:rPr>
        <w:lastRenderedPageBreak/>
        <w:t>康服务”、“个性化健康服务”等新型健康服务业态。支持在依法合规、保证信息安全的前提下，合理开发系统和数据增值服务，开发和推广面向广大城乡居民的健康服务信息系统，实现养老机构、社区、家政、医疗护理机构协同信息服务。支持开发移动终端、穿戴式植入式智能终端设备等增值服务产品，实现健康数据采集设备与物联网、移动互联网的融合。培育一批创新型健康信息化企业，实现医疗服务与健康管理信息软件规模化研发，并形成产业集群。</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69" w:name="_Toc3650"/>
      <w:bookmarkStart w:id="70" w:name="_Toc415615311"/>
      <w:r>
        <w:rPr>
          <w:rFonts w:ascii="仿宋_GB2312" w:eastAsia="仿宋_GB2312" w:cs="仿宋_GB2312" w:hint="eastAsia"/>
        </w:rPr>
        <w:t>（二）健康保险</w:t>
      </w:r>
      <w:bookmarkEnd w:id="69"/>
      <w:bookmarkEnd w:id="70"/>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t>丰富商业健康保险产品。鼓励开发重大疾病保险、特定疾病保险等与基本医保相衔接的商业健康保险产品。鼓励开发长期护理保险、失能收入损失保险等与健康管理、运动健身、养老服务相关的保险产品。鼓励保险公司加强与医疗机构、体检机构、护理机构合作，为参保人提供健康咨询、健康风险评估、健康风险干预、疾病管理等服务。积极探索医护人员责任保险、医疗机构责任保险、医疗意外保险等多种形式的医疗执业保险。探索参保人利用职工医保个人账户余额购买商业保险，积极推进医疗卫生、基本医疗保险和商业健康保险信息共享与融合发展，以协同完善的多元医保体系支持多样化健康服务和产品的供给。</w:t>
      </w:r>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充分发挥健康保险服务功能。鼓励以政府购买服务的方式委托具有资质的商业保险机构开展各类医疗保险经办服务。推动商业保险深度介入医疗服务市场，发挥其在医疗行为监督、医疗费用控制、参保人健康管理等方面的积极作用。建立商业保险公司与基本医疗保险、各类健康服务机构的合作和谈判机制。鼓励发展以商业保险机制为支撑、以健康风险管理为核心的健康管理组织等新型组织，支持预防保健服务类的消费。开展商业保险公司参与基本医疗保险的第三方评价、调查和咨询服务。鼓励有条件的地区将基本医疗以</w:t>
      </w:r>
      <w:r>
        <w:rPr>
          <w:rFonts w:ascii="仿宋_GB2312" w:eastAsia="仿宋_GB2312" w:cs="仿宋_GB2312" w:hint="eastAsia"/>
          <w:sz w:val="32"/>
          <w:szCs w:val="32"/>
        </w:rPr>
        <w:lastRenderedPageBreak/>
        <w:t>商业再保险的方式由保险公司进行承保。</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71" w:name="_Toc4386"/>
      <w:bookmarkStart w:id="72" w:name="_Toc415615312"/>
      <w:r>
        <w:rPr>
          <w:rFonts w:ascii="仿宋_GB2312" w:eastAsia="仿宋_GB2312" w:cs="仿宋_GB2312" w:hint="eastAsia"/>
        </w:rPr>
        <w:t>（三）高端医疗器械</w:t>
      </w:r>
      <w:bookmarkEnd w:id="71"/>
      <w:bookmarkEnd w:id="72"/>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以技术、政策、资本和人才的有效整合为核心，重点发展干细胞治疗、肿瘤免疫治疗、基因治疗等个体化治疗和第三方医学检测等领域的高端技术、新型服务、新兴业态，支持生物医药、医疗器械企业向高端医疗服务领域拓展延伸，鼓励企业参与和承担制定技术标准、管理规范及政策法规，加快建设高端医疗技术公共服务平台，打造以个体化治疗技术为核心的高端医疗产业集群，提供个体化、规范化、高质量、一站式的高端医疗技术服务，满足人民群众多层次、多样化的医疗需求。</w:t>
      </w:r>
    </w:p>
    <w:p w:rsidR="00195273" w:rsidRDefault="004F4DE5" w:rsidP="0013485A">
      <w:pPr>
        <w:spacing w:line="540" w:lineRule="exact"/>
        <w:ind w:firstLineChars="200" w:firstLine="643"/>
        <w:rPr>
          <w:rFonts w:ascii="仿宋_GB2312" w:eastAsia="仿宋_GB2312" w:cs="Times New Roman"/>
          <w:sz w:val="32"/>
          <w:szCs w:val="32"/>
        </w:rPr>
      </w:pPr>
      <w:bookmarkStart w:id="73" w:name="_Toc415615313"/>
      <w:r>
        <w:rPr>
          <w:rFonts w:ascii="仿宋_GB2312" w:eastAsia="仿宋_GB2312" w:cs="仿宋_GB2312"/>
          <w:b/>
          <w:bCs/>
          <w:sz w:val="32"/>
          <w:szCs w:val="32"/>
        </w:rPr>
        <w:t>1</w:t>
      </w:r>
      <w:r>
        <w:rPr>
          <w:rFonts w:ascii="仿宋_GB2312" w:eastAsia="仿宋_GB2312" w:cs="仿宋_GB2312" w:hint="eastAsia"/>
          <w:b/>
          <w:bCs/>
          <w:sz w:val="32"/>
          <w:szCs w:val="32"/>
        </w:rPr>
        <w:t>．个体化治疗</w:t>
      </w:r>
      <w:bookmarkEnd w:id="73"/>
      <w:r>
        <w:rPr>
          <w:rFonts w:ascii="仿宋_GB2312" w:eastAsia="仿宋_GB2312" w:cs="仿宋_GB2312" w:hint="eastAsia"/>
          <w:b/>
          <w:bCs/>
          <w:sz w:val="32"/>
          <w:szCs w:val="32"/>
        </w:rPr>
        <w:t>。</w:t>
      </w:r>
      <w:r>
        <w:rPr>
          <w:rFonts w:ascii="仿宋_GB2312" w:eastAsia="仿宋_GB2312" w:cs="仿宋_GB2312" w:hint="eastAsia"/>
          <w:sz w:val="32"/>
          <w:szCs w:val="32"/>
        </w:rPr>
        <w:t>支持基因诊断与靶向治疗相结合的高端个体化治疗产业化发展，研究制定有利于国际先进医疗技术快速落地转化的产业政策，积极培育创新医疗服务模式，在个体化治疗技术产业化进程中发挥示范作用，鼓励企业引进和转化国际先进的个体化生物治疗技术，把丽水建设成为集个体化治疗、养生、休闲、旅游等功能于一体的高端医疗服务中心。</w:t>
      </w:r>
    </w:p>
    <w:p w:rsidR="00195273" w:rsidRDefault="004F4DE5" w:rsidP="0013485A">
      <w:pPr>
        <w:spacing w:line="540" w:lineRule="exact"/>
        <w:ind w:firstLineChars="200" w:firstLine="643"/>
        <w:rPr>
          <w:rFonts w:ascii="仿宋_GB2312" w:eastAsia="仿宋_GB2312" w:cs="Times New Roman"/>
          <w:sz w:val="32"/>
          <w:szCs w:val="32"/>
        </w:rPr>
      </w:pPr>
      <w:bookmarkStart w:id="74" w:name="_Toc415615314"/>
      <w:r>
        <w:rPr>
          <w:rFonts w:ascii="仿宋_GB2312" w:eastAsia="仿宋_GB2312" w:cs="仿宋_GB2312"/>
          <w:b/>
          <w:bCs/>
          <w:sz w:val="32"/>
          <w:szCs w:val="32"/>
        </w:rPr>
        <w:t>2</w:t>
      </w:r>
      <w:r>
        <w:rPr>
          <w:rFonts w:ascii="仿宋_GB2312" w:eastAsia="仿宋_GB2312" w:cs="仿宋_GB2312" w:hint="eastAsia"/>
          <w:b/>
          <w:bCs/>
          <w:sz w:val="32"/>
          <w:szCs w:val="32"/>
        </w:rPr>
        <w:t>．第三方医学检测</w:t>
      </w:r>
      <w:bookmarkEnd w:id="74"/>
      <w:r>
        <w:rPr>
          <w:rFonts w:ascii="仿宋_GB2312" w:eastAsia="仿宋_GB2312" w:cs="仿宋_GB2312" w:hint="eastAsia"/>
          <w:b/>
          <w:bCs/>
          <w:sz w:val="32"/>
          <w:szCs w:val="32"/>
        </w:rPr>
        <w:t>。</w:t>
      </w:r>
      <w:r>
        <w:rPr>
          <w:rFonts w:ascii="仿宋_GB2312" w:eastAsia="仿宋_GB2312" w:cs="仿宋_GB2312" w:hint="eastAsia"/>
          <w:sz w:val="32"/>
          <w:szCs w:val="32"/>
        </w:rPr>
        <w:t>支持新型第三方医学检测技术开发和服务模式创新，培育第三方医学检测机构，优化配置医学检测技术、设备以及人员等资源，提高检测的稳定性、先进性和精确性，健全丽水市医学检测报告互认制度，加强医学检测数据管理，促进第三方医学检测行业规范化、标准化、市场化发展。</w:t>
      </w:r>
    </w:p>
    <w:p w:rsidR="00195273" w:rsidRDefault="004F4DE5" w:rsidP="0013485A">
      <w:pPr>
        <w:pStyle w:val="1"/>
        <w:widowControl/>
        <w:spacing w:before="0" w:after="0" w:line="540" w:lineRule="exact"/>
        <w:ind w:firstLineChars="200" w:firstLine="643"/>
        <w:rPr>
          <w:rStyle w:val="1Char"/>
          <w:rFonts w:ascii="仿宋_GB2312" w:eastAsia="仿宋_GB2312" w:cs="Times New Roman"/>
          <w:b/>
          <w:bCs/>
          <w:sz w:val="32"/>
          <w:szCs w:val="32"/>
        </w:rPr>
      </w:pPr>
      <w:bookmarkStart w:id="75" w:name="_Toc415615315"/>
      <w:bookmarkStart w:id="76" w:name="_Toc16405"/>
      <w:r>
        <w:rPr>
          <w:rStyle w:val="1Char"/>
          <w:rFonts w:ascii="仿宋_GB2312" w:eastAsia="仿宋_GB2312" w:cs="仿宋_GB2312" w:hint="eastAsia"/>
          <w:b/>
          <w:bCs/>
          <w:sz w:val="32"/>
          <w:szCs w:val="32"/>
        </w:rPr>
        <w:t>五、空间布局</w:t>
      </w:r>
      <w:bookmarkEnd w:id="75"/>
      <w:bookmarkEnd w:id="76"/>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基于经济新常态背景，坚持创新驱动发展理念，按照“市场主导、政府推动、创新引领、集聚发展”的原则，加强统筹规划，整合空间资源，突出重点，以点带面，集中突破，整体推进，进一步优化生产力布局，加快形成以优势主导产业为支柱、产业集群特色</w:t>
      </w:r>
      <w:r>
        <w:rPr>
          <w:rFonts w:ascii="仿宋_GB2312" w:eastAsia="仿宋_GB2312" w:cs="仿宋_GB2312" w:hint="eastAsia"/>
          <w:sz w:val="32"/>
          <w:szCs w:val="32"/>
        </w:rPr>
        <w:lastRenderedPageBreak/>
        <w:t>突出的产业结构，打造“一核、三区、多片”的健康产业布局。</w:t>
      </w:r>
    </w:p>
    <w:p w:rsidR="00195273" w:rsidRDefault="004F4DE5" w:rsidP="0013485A">
      <w:pPr>
        <w:spacing w:line="540" w:lineRule="exact"/>
        <w:ind w:firstLineChars="200" w:firstLine="643"/>
        <w:rPr>
          <w:rFonts w:ascii="仿宋_GB2312" w:eastAsia="仿宋_GB2312" w:hAnsi="??" w:cs="Times New Roman"/>
          <w:kern w:val="0"/>
          <w:sz w:val="32"/>
          <w:szCs w:val="32"/>
        </w:rPr>
      </w:pPr>
      <w:r>
        <w:rPr>
          <w:rFonts w:ascii="仿宋_GB2312" w:eastAsia="仿宋_GB2312" w:cs="仿宋_GB2312" w:hint="eastAsia"/>
          <w:b/>
          <w:bCs/>
          <w:sz w:val="32"/>
          <w:szCs w:val="32"/>
        </w:rPr>
        <w:t>“一核”，</w:t>
      </w:r>
      <w:r>
        <w:rPr>
          <w:rFonts w:ascii="仿宋_GB2312" w:eastAsia="仿宋_GB2312" w:cs="仿宋_GB2312" w:hint="eastAsia"/>
          <w:sz w:val="32"/>
          <w:szCs w:val="32"/>
        </w:rPr>
        <w:t>依托丽水市区现有健康产业基础，利用中心城区在城市化和基础设施建设等方面的优越性，充分发挥其汇聚人才、资本、技术等高端要素的能力，重点发展医疗服务、健康管理、照护康复、中医药保健、养生养老、生物医药、健康食（用）品等产业，积极发展健康信息、健康保险、高端医疗等产业，打造一批健康产业基地，开展一批健康产业试点示范，建设一批健康产业重点项目，培育一批健康产业骨干企业，以此打造丽水健康产业发展的核心引擎，成为健康产业发展的主体功能区与产业集聚区。</w:t>
      </w:r>
      <w:r>
        <w:rPr>
          <w:rFonts w:ascii="仿宋_GB2312" w:eastAsia="仿宋_GB2312" w:hAnsi="??" w:cs="仿宋_GB2312" w:hint="eastAsia"/>
          <w:kern w:val="0"/>
          <w:sz w:val="32"/>
          <w:szCs w:val="32"/>
        </w:rPr>
        <w:t>丽水市区成为服务全市、带动周边，具有较强竞争能力、服务能力、集聚能力和辐射能力的全市健康产业发展核心区和总部经济基地。</w:t>
      </w:r>
    </w:p>
    <w:p w:rsidR="00195273" w:rsidRDefault="004F4DE5">
      <w:pPr>
        <w:widowControl/>
        <w:spacing w:line="460" w:lineRule="atLeast"/>
        <w:ind w:firstLine="540"/>
        <w:jc w:val="left"/>
        <w:rPr>
          <w:rFonts w:ascii="仿宋_GB2312" w:eastAsia="仿宋_GB2312" w:cs="Times New Roman"/>
          <w:sz w:val="32"/>
          <w:szCs w:val="32"/>
        </w:rPr>
      </w:pPr>
      <w:r>
        <w:rPr>
          <w:rFonts w:ascii="仿宋_GB2312" w:eastAsia="仿宋_GB2312" w:cs="仿宋_GB2312" w:hint="eastAsia"/>
          <w:b/>
          <w:bCs/>
          <w:sz w:val="32"/>
          <w:szCs w:val="32"/>
        </w:rPr>
        <w:t>“三区”，</w:t>
      </w:r>
      <w:r>
        <w:rPr>
          <w:rFonts w:ascii="仿宋_GB2312" w:eastAsia="仿宋_GB2312" w:hAnsi="??" w:cs="仿宋_GB2312" w:hint="eastAsia"/>
          <w:kern w:val="0"/>
          <w:sz w:val="32"/>
          <w:szCs w:val="32"/>
        </w:rPr>
        <w:t>突出发展龙泉、松阳、缙云三个区块，充分发挥三大区块在健康产业基础、资源禀赋、集聚规模及辐射能力方面的特色优势，提升健康产业层次和发展水平。</w:t>
      </w:r>
      <w:r>
        <w:rPr>
          <w:rFonts w:ascii="仿宋_GB2312" w:eastAsia="仿宋_GB2312" w:cs="仿宋_GB2312" w:hint="eastAsia"/>
          <w:sz w:val="32"/>
          <w:szCs w:val="32"/>
        </w:rPr>
        <w:t>依托现有产业发展基础和外部支撑条件，整合优势资源，</w:t>
      </w:r>
      <w:r>
        <w:rPr>
          <w:rFonts w:ascii="仿宋_GB2312" w:eastAsia="仿宋_GB2312" w:hAnsi="??" w:cs="仿宋_GB2312" w:hint="eastAsia"/>
          <w:kern w:val="0"/>
          <w:sz w:val="32"/>
          <w:szCs w:val="32"/>
        </w:rPr>
        <w:t>充分利用</w:t>
      </w:r>
      <w:r>
        <w:rPr>
          <w:rFonts w:ascii="仿宋_GB2312" w:eastAsia="仿宋_GB2312" w:cs="仿宋_GB2312" w:hint="eastAsia"/>
          <w:sz w:val="32"/>
          <w:szCs w:val="32"/>
        </w:rPr>
        <w:t>龙泉的剑瓷文化、食用菌、中药产品、生物提取以及医药中间体等产业优势与旅游资源优势。缙云的米仁、香茶菜、白术、白芍、浙贝母、玄参、延胡索、金银花等中药材及黄帝文化休闲养生优势。松阳的茶养生文化、</w:t>
      </w:r>
      <w:r>
        <w:rPr>
          <w:rFonts w:ascii="仿宋_GB2312" w:eastAsia="仿宋_GB2312" w:hAnsi="??" w:cs="仿宋_GB2312" w:hint="eastAsia"/>
          <w:kern w:val="0"/>
          <w:sz w:val="32"/>
          <w:szCs w:val="32"/>
        </w:rPr>
        <w:t>田园风光和深厚的农耕文化、道家文化、儒家文化</w:t>
      </w:r>
      <w:r>
        <w:rPr>
          <w:rFonts w:ascii="仿宋_GB2312" w:eastAsia="仿宋_GB2312" w:cs="仿宋_GB2312" w:hint="eastAsia"/>
          <w:sz w:val="32"/>
          <w:szCs w:val="32"/>
        </w:rPr>
        <w:t>及旅游资源优势。重点发展生态休闲养生（养老）、健康旅游与文化、中医药医疗保健、健康管理与促进等服务业及生物医药、健康食（用）品制造业等产业集群，鼓励发展医疗保健、照护康复、健康信息及健康保险等产业，建立重点产业基地，培育骨干企业，开展试点示范，形成跨行政区域产业集群。</w:t>
      </w:r>
    </w:p>
    <w:p w:rsidR="00195273" w:rsidRDefault="004F4DE5">
      <w:pPr>
        <w:widowControl/>
        <w:spacing w:line="460" w:lineRule="atLeast"/>
        <w:ind w:firstLine="540"/>
        <w:jc w:val="left"/>
        <w:rPr>
          <w:rFonts w:ascii="仿宋_GB2312" w:eastAsia="仿宋_GB2312" w:hAnsi="??" w:cs="Times New Roman"/>
          <w:kern w:val="0"/>
          <w:sz w:val="32"/>
          <w:szCs w:val="32"/>
        </w:rPr>
      </w:pPr>
      <w:r>
        <w:rPr>
          <w:rFonts w:ascii="仿宋_GB2312" w:eastAsia="仿宋_GB2312" w:cs="仿宋_GB2312" w:hint="eastAsia"/>
          <w:b/>
          <w:bCs/>
          <w:sz w:val="32"/>
          <w:szCs w:val="32"/>
        </w:rPr>
        <w:t>“多片”，</w:t>
      </w:r>
      <w:r>
        <w:rPr>
          <w:rFonts w:ascii="仿宋_GB2312" w:eastAsia="仿宋_GB2312" w:hAnsi="??" w:cs="仿宋_GB2312" w:hint="eastAsia"/>
          <w:kern w:val="0"/>
          <w:sz w:val="32"/>
          <w:szCs w:val="32"/>
        </w:rPr>
        <w:t>依托现有健康产业基础与资源比较优势，充分利用云和、庆元、遂昌、青田、景宁等县域优势资源，汇集所有技术、资本、人才及政策优势，推动已有健康产业转型升级，加快发展新</w:t>
      </w:r>
      <w:r>
        <w:rPr>
          <w:rFonts w:ascii="仿宋_GB2312" w:eastAsia="仿宋_GB2312" w:hAnsi="??" w:cs="仿宋_GB2312" w:hint="eastAsia"/>
          <w:kern w:val="0"/>
          <w:sz w:val="32"/>
          <w:szCs w:val="32"/>
        </w:rPr>
        <w:lastRenderedPageBreak/>
        <w:t>型健康产业，着力构建特色鲜明、重点突出、集聚发展的健康产业集聚点，并成为丽水市健康产业转型升级的主要承载平台。</w:t>
      </w:r>
    </w:p>
    <w:p w:rsidR="00195273" w:rsidRDefault="004F4DE5">
      <w:pPr>
        <w:widowControl/>
        <w:spacing w:line="460" w:lineRule="atLeast"/>
        <w:ind w:firstLine="540"/>
        <w:jc w:val="left"/>
        <w:rPr>
          <w:rFonts w:ascii="仿宋_GB2312" w:eastAsia="仿宋_GB2312" w:cs="Times New Roman"/>
          <w:sz w:val="32"/>
          <w:szCs w:val="32"/>
        </w:rPr>
      </w:pPr>
      <w:r>
        <w:rPr>
          <w:rFonts w:ascii="仿宋_GB2312" w:eastAsia="仿宋_GB2312" w:hAnsi="??" w:cs="仿宋_GB2312" w:hint="eastAsia"/>
          <w:kern w:val="0"/>
          <w:sz w:val="32"/>
          <w:szCs w:val="32"/>
        </w:rPr>
        <w:t>依托现有产业发展基础和外部支撑条件，整合优势资源，利用云和的木制玩具文化创意产业及云和湖、云和梯田、狮山等休闲养生旅游资源优势；庆元的食用菌、廊桥文化、“扁鹊”中医养生文化及中国生态环境第一县的独特优势和历史人文资源优势；遂昌的独特生态环境与深厚的人文底蕴及竹炭、菊米、中草药、茶叶等特色养生（养老）产品优势；青田的石雕文化及鞋革制造、华侨经济及区位优势；景宁的民族习俗、生态资源优势及畲医畲药、民族特色养生等优势，充分发挥和挖掘各县市的资源、产业、历史、民俗、人文等特色优势，重点发展生态休闲养生（老）、健康旅游与文化、中医药医疗保健、健康食品、照护康复等产业，鼓励发展健康管理、生物医药、医疗保健、健康信息及健康保险等产业集群，形成特色鲜明、错位发展、资源互补、集聚发展的新型健康产业空间格局，提升产业层次和服务水平，促进全市健康产业的全面快速推进。</w:t>
      </w:r>
    </w:p>
    <w:p w:rsidR="00195273" w:rsidRDefault="004F4DE5" w:rsidP="0013485A">
      <w:pPr>
        <w:pStyle w:val="1"/>
        <w:widowControl/>
        <w:spacing w:before="0" w:after="0" w:line="540" w:lineRule="exact"/>
        <w:ind w:firstLineChars="200" w:firstLine="643"/>
        <w:rPr>
          <w:rStyle w:val="1Char"/>
          <w:rFonts w:ascii="仿宋_GB2312" w:eastAsia="仿宋_GB2312" w:cs="Times New Roman"/>
          <w:b/>
          <w:bCs/>
          <w:sz w:val="32"/>
          <w:szCs w:val="32"/>
        </w:rPr>
      </w:pPr>
      <w:bookmarkStart w:id="77" w:name="_Toc415615316"/>
      <w:bookmarkStart w:id="78" w:name="_Toc5618"/>
      <w:r>
        <w:rPr>
          <w:rStyle w:val="1Char"/>
          <w:rFonts w:ascii="仿宋_GB2312" w:eastAsia="仿宋_GB2312" w:cs="仿宋_GB2312" w:hint="eastAsia"/>
          <w:b/>
          <w:bCs/>
          <w:sz w:val="32"/>
          <w:szCs w:val="32"/>
        </w:rPr>
        <w:t>六、保障措施</w:t>
      </w:r>
      <w:bookmarkEnd w:id="77"/>
      <w:bookmarkEnd w:id="78"/>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79" w:name="_Toc4077"/>
      <w:bookmarkStart w:id="80" w:name="_Toc415615317"/>
      <w:r>
        <w:rPr>
          <w:rFonts w:ascii="仿宋_GB2312" w:eastAsia="仿宋_GB2312" w:cs="仿宋_GB2312" w:hint="eastAsia"/>
        </w:rPr>
        <w:t>（一）加强统筹协调，强化组织管理</w:t>
      </w:r>
      <w:bookmarkEnd w:id="79"/>
      <w:bookmarkEnd w:id="80"/>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成立丽水市健康产业推进办公室，重点负责对健康产业的统筹规划、政策制定、目标分解、项目示范、组织考核及招商引资等工作。建立由市政府牵头，发改、卫生计生、经信、宣传、编委办、教育、民政、财政、人力社保、国土资源、建设、商务、工商、体育、食品药品监管、统计、旅游、物价、金融及保险监管等部门参与的联席会议制度，加强对健康产业的统筹协调与管理，切实做到组织分工明确、责任落实到位、工作协调高效。尽快组建健康产业专家委员会与行业协会，为健康产业提供决策咨询、平台建设、技术和产品推广、标准制定、从业人员执业行为规范、行业信誉维护等方面的工作，建立健全行业发展自律机制。建立健全统计监测评估制度与信息反馈制度，加强对健康产业的跟踪监测管理与绩效评</w:t>
      </w:r>
      <w:r>
        <w:rPr>
          <w:rFonts w:ascii="仿宋_GB2312" w:eastAsia="仿宋_GB2312" w:cs="仿宋_GB2312" w:hint="eastAsia"/>
          <w:sz w:val="32"/>
          <w:szCs w:val="32"/>
        </w:rPr>
        <w:lastRenderedPageBreak/>
        <w:t>估，确保规划高效实施，促进健康产业有序快速发展。</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81" w:name="_Toc1081"/>
      <w:bookmarkStart w:id="82" w:name="_Toc415615318"/>
      <w:r>
        <w:rPr>
          <w:rFonts w:ascii="仿宋_GB2312" w:eastAsia="仿宋_GB2312" w:cs="仿宋_GB2312" w:hint="eastAsia"/>
        </w:rPr>
        <w:t>（二）健全政策法规，创造良好环境</w:t>
      </w:r>
      <w:bookmarkEnd w:id="81"/>
      <w:bookmarkEnd w:id="82"/>
    </w:p>
    <w:p w:rsidR="00195273" w:rsidRDefault="004F4DE5"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r>
        <w:rPr>
          <w:rFonts w:ascii="仿宋_GB2312" w:eastAsia="仿宋_GB2312" w:hAnsi="Calibri" w:cs="仿宋_GB2312" w:hint="eastAsia"/>
          <w:color w:val="auto"/>
          <w:kern w:val="2"/>
          <w:sz w:val="32"/>
          <w:szCs w:val="32"/>
        </w:rPr>
        <w:t>加快制定促进丽水市健康产业发展的产业政策，完善相关法律法规。编制健康产业发展引导目录，放宽市场准入，建立公开、透明、平等、规范的健康产业准入制度。建立促进社会资本进入健康产业的优惠政策，包括土地规划、市政配套、机构准入、执业环境等政策扶持和倾斜。制定、推行技术标准和行业规范，提高健康服务业标准化水平，加大健康领域知识产权保护力度。完善监督管理机制，创新监管方式，加强工商、食品药品监管、卫生计生等行政主管部门的联合监管，加强行业自律和社会监督，加快建设诚信服务制度。完善财税价格政策，对健康产业实施差异化税收优惠政策，加大对提供基本医疗卫生服务的非公立医疗机构的财政专项资金支持力度，建立健全政府购买健康产品机制，逐步扩大政府采购健康产品范围。通过优惠政策，引导医疗机构通过技术、管理、品牌和资金等多种形式合作合资，投向预防、保健、护理、康复等领域，延伸健康服务产业链。</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83" w:name="_Toc16842"/>
      <w:bookmarkStart w:id="84" w:name="_Toc415615319"/>
      <w:r>
        <w:rPr>
          <w:rFonts w:ascii="仿宋_GB2312" w:eastAsia="仿宋_GB2312" w:cs="仿宋_GB2312" w:hint="eastAsia"/>
        </w:rPr>
        <w:t>（三）加强人才培养，强化智力保障</w:t>
      </w:r>
      <w:bookmarkEnd w:id="83"/>
      <w:bookmarkEnd w:id="84"/>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健全人力资源保障机制。加大高层次人才引进力度，引进具有持续创新能力的一流科研团队和高学历高职称专业技术人才，完善对高层次人才的引进、考核与激励机制，建立良好的用人环境，充分发挥高端人才对我市健康产业的引领带动作用。加快健康专业人才培养力度，充分发挥政府资源优势与引导作用，通过政产学研合作，支持政府、企业、高校联合建设博士后科研工作站，新增或调整丽水学院、丽水职业技术学院、丽水电大等地方院校的专业设置，开设与健康产业对口的康复医学、老年医学等临床医学和护理专业，提高中低端技术人才培养能力，积极推进技术人才实训基地建设，</w:t>
      </w:r>
      <w:r>
        <w:rPr>
          <w:rFonts w:ascii="仿宋_GB2312" w:eastAsia="仿宋_GB2312" w:cs="仿宋_GB2312" w:hint="eastAsia"/>
          <w:sz w:val="32"/>
          <w:szCs w:val="32"/>
        </w:rPr>
        <w:lastRenderedPageBreak/>
        <w:t>进一步扩充人才输送渠道。建立与国内著名高校及医疗机构的对口帮扶机制，加强与浙江大学、温州大学等省内高校合作，促进专业技术人才流动，每年吸引一批优秀党政干部、专业技术人才、经营管理骨干来丽水挂职，加强技术交流与合作，提高科学管理能力。</w:t>
      </w:r>
    </w:p>
    <w:p w:rsidR="00195273" w:rsidRDefault="004F4DE5" w:rsidP="0013485A">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鼓励社会资本举办职业技能培训学校，规范并加快培养护理员、家庭服务员、养老护理员、药剂员、心理咨询师、公共营养师、育婴师、按摩师、康复治疗师、健康管理师、健身教练、社会体育指导员、健康旅游引导员等从业人员，培养壮大卫生职业经理人队伍。深化医疗卫生人事制度改革，逐步建立卫生技术人才市场，变身份管理为岗位管理。加快建立科学的医疗评价机制和符合行业特点的人才培养、人事薪酬制度。</w:t>
      </w:r>
    </w:p>
    <w:p w:rsidR="00195273" w:rsidRDefault="004F4DE5" w:rsidP="0013485A">
      <w:pPr>
        <w:pStyle w:val="2"/>
        <w:widowControl/>
        <w:spacing w:before="0" w:after="0" w:line="540" w:lineRule="exact"/>
        <w:ind w:firstLineChars="200" w:firstLine="643"/>
        <w:rPr>
          <w:rFonts w:ascii="仿宋_GB2312" w:eastAsia="仿宋_GB2312" w:cs="Times New Roman"/>
        </w:rPr>
      </w:pPr>
      <w:bookmarkStart w:id="85" w:name="_Toc13867"/>
      <w:bookmarkStart w:id="86" w:name="_Toc415615320"/>
      <w:r>
        <w:rPr>
          <w:rFonts w:ascii="仿宋_GB2312" w:eastAsia="仿宋_GB2312" w:cs="仿宋_GB2312" w:hint="eastAsia"/>
        </w:rPr>
        <w:t>（四）创新融资模式，注入持续动力</w:t>
      </w:r>
      <w:bookmarkEnd w:id="85"/>
      <w:bookmarkEnd w:id="86"/>
    </w:p>
    <w:p w:rsidR="00195273" w:rsidRDefault="004F4DE5" w:rsidP="0013485A">
      <w:pPr>
        <w:widowControl/>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加快金融改革步伐，优化投融资引导政策。大力推动社会资本与健康产业资本融合，充分发挥社会资本对我市健康产业的拉动作用。研究制定《丽水市股权投资业发展实施办法》，推动建立创业投资、股权投资等多层次投资基金体系。加快设立由政府、金融机构和社会资本共同筹资的健康产业投资基金，带动社会资本大规模投入。探索设立</w:t>
      </w:r>
      <w:r>
        <w:rPr>
          <w:rFonts w:ascii="仿宋_GB2312" w:eastAsia="仿宋_GB2312" w:cs="仿宋_GB2312"/>
          <w:sz w:val="32"/>
          <w:szCs w:val="32"/>
        </w:rPr>
        <w:t xml:space="preserve"> PE/VC </w:t>
      </w:r>
      <w:r>
        <w:rPr>
          <w:rFonts w:ascii="仿宋_GB2312" w:eastAsia="仿宋_GB2312" w:cs="仿宋_GB2312" w:hint="eastAsia"/>
          <w:sz w:val="32"/>
          <w:szCs w:val="32"/>
        </w:rPr>
        <w:t>引导基金，培育和引进</w:t>
      </w:r>
      <w:r>
        <w:rPr>
          <w:rFonts w:ascii="仿宋_GB2312" w:eastAsia="仿宋_GB2312" w:cs="仿宋_GB2312"/>
          <w:sz w:val="32"/>
          <w:szCs w:val="32"/>
        </w:rPr>
        <w:t xml:space="preserve"> PE/VC </w:t>
      </w:r>
      <w:r>
        <w:rPr>
          <w:rFonts w:ascii="仿宋_GB2312" w:eastAsia="仿宋_GB2312" w:cs="仿宋_GB2312" w:hint="eastAsia"/>
          <w:sz w:val="32"/>
          <w:szCs w:val="32"/>
        </w:rPr>
        <w:t>管理机构，吸引各类社会资本进入股权投资业，加强创业投资和股权投资的拨备管理，促进股权投资业规范有序健康发展，为健康产业提供直接融资支持。创新债务融资工具，通过供应链融资、订单融资、融资租赁服务、公司债、短期融资券、中期票据等多种工具广泛融资，优质医疗机构推广采用“分别负债、统一担保、集合发行”方式发行中小企业集合票据，大力推进“区域集优”票据融资模式。制定丽水市健康产业企业上市规划，实施健康产业项目培育工程，加大优质企业上市培育力度，大力支持成熟企业通过境内主板、创业板、</w:t>
      </w:r>
      <w:r>
        <w:rPr>
          <w:rFonts w:ascii="仿宋_GB2312" w:eastAsia="仿宋_GB2312" w:cs="仿宋_GB2312" w:hint="eastAsia"/>
          <w:sz w:val="32"/>
          <w:szCs w:val="32"/>
        </w:rPr>
        <w:lastRenderedPageBreak/>
        <w:t>中小板及海外股票市场上市。加快培育丽水市健康服务资源产权交易平台，开辟健康产业板块，充分利用浙江省股权交易中心在股权融资中的功能，鼓励中小企业在股权交易中心挂牌交易。加快引进各类评估机构、会计审计事务所、律师事务所等各类中介机构，为健康产业企业通过地方股权交易市场融资提供便利，为股权投资机构提供更多投资机会和退出通道。促进机构通过国内外资本市场再融资与兼并重组，鼓励银行等金融机构创新金融产品和服务，加大对健康产业的信贷支持。探索建立创新型中小企业贷款担保基金与再担保扶持体系，创新担保品种，开展健康产品、销售合同、知识产权质押贷款。加大招商引资力度，有效利用温州资本与外资，建立融资财政补贴和奖励制度，推动健康产业持续发展。</w:t>
      </w:r>
    </w:p>
    <w:p w:rsidR="00195273" w:rsidRDefault="004F4DE5" w:rsidP="0013485A">
      <w:pPr>
        <w:widowControl/>
        <w:spacing w:line="540" w:lineRule="exact"/>
        <w:ind w:firstLineChars="200" w:firstLine="643"/>
        <w:outlineLvl w:val="1"/>
        <w:rPr>
          <w:rFonts w:ascii="仿宋_GB2312" w:eastAsia="仿宋_GB2312" w:hAnsi="Arial" w:cs="仿宋_GB2312"/>
          <w:b/>
          <w:bCs/>
          <w:sz w:val="32"/>
          <w:szCs w:val="32"/>
        </w:rPr>
      </w:pPr>
      <w:bookmarkStart w:id="87" w:name="_Toc415615321"/>
      <w:bookmarkStart w:id="88" w:name="_Toc7294"/>
      <w:r>
        <w:rPr>
          <w:rFonts w:ascii="仿宋_GB2312" w:eastAsia="仿宋_GB2312" w:hAnsi="Arial" w:cs="仿宋_GB2312" w:hint="eastAsia"/>
          <w:b/>
          <w:bCs/>
          <w:sz w:val="32"/>
          <w:szCs w:val="32"/>
        </w:rPr>
        <w:t>（五）</w:t>
      </w:r>
      <w:bookmarkStart w:id="89" w:name="_Toc426706799"/>
      <w:bookmarkEnd w:id="87"/>
      <w:r>
        <w:rPr>
          <w:rFonts w:ascii="仿宋_GB2312" w:eastAsia="仿宋_GB2312" w:hAnsi="Arial" w:cs="仿宋_GB2312" w:hint="eastAsia"/>
          <w:b/>
          <w:bCs/>
          <w:sz w:val="32"/>
          <w:szCs w:val="32"/>
        </w:rPr>
        <w:t>完善行业标准，规范行业管理</w:t>
      </w:r>
      <w:bookmarkEnd w:id="88"/>
      <w:bookmarkEnd w:id="89"/>
    </w:p>
    <w:p w:rsidR="00195273" w:rsidRDefault="004F4DE5">
      <w:pPr>
        <w:widowControl/>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尽快构建科学统一的健康产业统计指标体系与监测指标体系，建立健全健康产业的统计制度，推动健康产业的监测工作开展。建立健全行业发展和自律机制，推动建立健康产业协会、学会、联盟等行业组织，充分发挥行业组织的协调、服务和监管作用。建立完善健康产业标准体系，鼓励行业组织开展健康产业以及各细分行业的标准制（修）订工作，继续支持相关行业组织参与国际标准和国家标准的制（修）订。研究确定健康产业发展指数，并建立健康产业发展信息定期公布制度。制订健康产业行业规范，探索建立不良诚信企业（机构）黑名单制度和不良信用者强制退出机制，推动健康产业规范有序发展。</w:t>
      </w:r>
    </w:p>
    <w:p w:rsidR="00195273" w:rsidRDefault="004F4DE5" w:rsidP="0013485A">
      <w:pPr>
        <w:widowControl/>
        <w:spacing w:line="540" w:lineRule="exact"/>
        <w:ind w:firstLineChars="200" w:firstLine="643"/>
        <w:outlineLvl w:val="1"/>
        <w:rPr>
          <w:rFonts w:ascii="仿宋_GB2312" w:eastAsia="仿宋_GB2312" w:hAnsi="Arial" w:cs="仿宋_GB2312"/>
          <w:b/>
          <w:bCs/>
          <w:sz w:val="32"/>
          <w:szCs w:val="32"/>
        </w:rPr>
      </w:pPr>
      <w:bookmarkStart w:id="90" w:name="_Toc426706800"/>
      <w:bookmarkStart w:id="91" w:name="_Toc32529"/>
      <w:r>
        <w:rPr>
          <w:rFonts w:ascii="仿宋_GB2312" w:eastAsia="仿宋_GB2312" w:hAnsi="Arial" w:cs="仿宋_GB2312" w:hint="eastAsia"/>
          <w:b/>
          <w:bCs/>
          <w:sz w:val="32"/>
          <w:szCs w:val="32"/>
        </w:rPr>
        <w:t>（六）</w:t>
      </w:r>
      <w:bookmarkStart w:id="92" w:name="_Toc426706797"/>
      <w:bookmarkEnd w:id="90"/>
      <w:r>
        <w:rPr>
          <w:rFonts w:ascii="仿宋_GB2312" w:eastAsia="仿宋_GB2312" w:hAnsi="Arial" w:cs="仿宋_GB2312" w:hint="eastAsia"/>
          <w:b/>
          <w:bCs/>
          <w:sz w:val="32"/>
          <w:szCs w:val="32"/>
        </w:rPr>
        <w:t>深化体制改革</w:t>
      </w:r>
      <w:bookmarkEnd w:id="92"/>
      <w:r>
        <w:rPr>
          <w:rFonts w:ascii="仿宋_GB2312" w:eastAsia="仿宋_GB2312" w:hAnsi="Arial" w:cs="仿宋_GB2312" w:hint="eastAsia"/>
          <w:b/>
          <w:bCs/>
          <w:sz w:val="32"/>
          <w:szCs w:val="32"/>
        </w:rPr>
        <w:t>，促进开放合作</w:t>
      </w:r>
      <w:bookmarkEnd w:id="91"/>
    </w:p>
    <w:p w:rsidR="00195273" w:rsidRDefault="004F4DE5">
      <w:pPr>
        <w:widowControl/>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进一步简政放权，着力改善政府审批服务，简化项目审批环节，建立健康产业重点项目审批“绿色通道”。完善市场机制，充分发挥市场在资源配置中的决定性作用。深化医药卫生体制改革，鼓励</w:t>
      </w:r>
      <w:r>
        <w:rPr>
          <w:rFonts w:ascii="仿宋_GB2312" w:eastAsia="仿宋_GB2312" w:cs="仿宋_GB2312" w:hint="eastAsia"/>
          <w:sz w:val="32"/>
          <w:szCs w:val="32"/>
        </w:rPr>
        <w:lastRenderedPageBreak/>
        <w:t>社会力量参与公立医院改制，探索建立混合所有制医疗机构，深化医药价格改革，开展部分医疗服务价格改革试点，落实医师多点执业等改革配套措施，进一步释放健康产业发展活力。加大健康产业市场开放力度，推动健康产业园区的国际合作，促进健康产业的国际化发展，推动我市健康产业与国际标准融合。</w:t>
      </w: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195273" w:rsidP="0013485A">
      <w:pPr>
        <w:pStyle w:val="a7"/>
        <w:spacing w:before="0" w:after="0" w:line="540" w:lineRule="exact"/>
        <w:ind w:firstLineChars="200" w:firstLine="640"/>
        <w:jc w:val="both"/>
        <w:rPr>
          <w:rFonts w:ascii="仿宋_GB2312" w:eastAsia="仿宋_GB2312" w:hAnsi="Calibri" w:cs="Times New Roman"/>
          <w:color w:val="auto"/>
          <w:kern w:val="2"/>
          <w:sz w:val="32"/>
          <w:szCs w:val="32"/>
        </w:rPr>
      </w:pPr>
    </w:p>
    <w:p w:rsidR="00195273" w:rsidRDefault="004F4DE5">
      <w:pPr>
        <w:pStyle w:val="10"/>
        <w:outlineLvl w:val="0"/>
        <w:rPr>
          <w:rFonts w:ascii="仿宋_GB2312" w:eastAsia="仿宋_GB2312" w:cs="Times New Roman"/>
          <w:color w:val="auto"/>
          <w:sz w:val="32"/>
          <w:szCs w:val="32"/>
        </w:rPr>
      </w:pPr>
      <w:bookmarkStart w:id="93" w:name="_Toc14057"/>
      <w:r>
        <w:rPr>
          <w:rFonts w:ascii="仿宋_GB2312" w:eastAsia="仿宋_GB2312" w:cs="仿宋_GB2312" w:hint="eastAsia"/>
          <w:color w:val="auto"/>
          <w:sz w:val="32"/>
          <w:szCs w:val="32"/>
        </w:rPr>
        <w:lastRenderedPageBreak/>
        <w:t>附注：名词解释</w:t>
      </w:r>
      <w:bookmarkEnd w:id="93"/>
    </w:p>
    <w:p w:rsidR="00195273" w:rsidRDefault="004F4DE5" w:rsidP="0013485A">
      <w:pPr>
        <w:pStyle w:val="a7"/>
        <w:spacing w:before="0" w:after="0" w:line="540" w:lineRule="exact"/>
        <w:ind w:firstLineChars="200" w:firstLine="640"/>
        <w:jc w:val="both"/>
        <w:rPr>
          <w:rFonts w:ascii="仿宋_GB2312" w:eastAsia="仿宋_GB2312" w:cs="Times New Roman"/>
          <w:color w:val="auto"/>
          <w:sz w:val="32"/>
          <w:szCs w:val="32"/>
        </w:rPr>
      </w:pPr>
      <w:r>
        <w:rPr>
          <w:rFonts w:ascii="仿宋_GB2312" w:eastAsia="仿宋_GB2312" w:hAnsi="Calibri" w:cs="仿宋_GB2312"/>
          <w:color w:val="auto"/>
          <w:kern w:val="2"/>
          <w:sz w:val="32"/>
          <w:szCs w:val="32"/>
        </w:rPr>
        <w:t>1</w:t>
      </w:r>
      <w:r>
        <w:rPr>
          <w:rFonts w:ascii="仿宋_GB2312" w:eastAsia="仿宋_GB2312" w:hAnsi="Calibri" w:cs="仿宋_GB2312" w:hint="eastAsia"/>
          <w:color w:val="auto"/>
          <w:kern w:val="2"/>
          <w:sz w:val="32"/>
          <w:szCs w:val="32"/>
        </w:rPr>
        <w:t>、健康产业：</w:t>
      </w:r>
      <w:r>
        <w:rPr>
          <w:rFonts w:ascii="仿宋_GB2312" w:eastAsia="仿宋_GB2312" w:cs="仿宋_GB2312" w:hint="eastAsia"/>
          <w:color w:val="auto"/>
          <w:sz w:val="32"/>
          <w:szCs w:val="32"/>
        </w:rPr>
        <w:t>是指与维持健康、修复健康、促进健康相关的一系列有规模的产品生产、服务提供和信息传播等相关产业的统称。国内外文献研究表明，健康产业主要包括健康服务业与健康制造业两大领域。其中，健康服务业与健康预防、修复、康复最为密切，能够直接为健康人群与患病人群提供服务，以达致健康状态；健康制造业以生物医药、健康食品、健康用品制造为基础，需要通过健康服务领域的专业咨询及使用，满足公众的健康保健需求。</w:t>
      </w:r>
    </w:p>
    <w:p w:rsidR="00195273" w:rsidRDefault="004F4DE5" w:rsidP="0013485A">
      <w:pPr>
        <w:pStyle w:val="a7"/>
        <w:spacing w:before="0" w:after="0" w:line="540" w:lineRule="exact"/>
        <w:ind w:firstLineChars="200" w:firstLine="640"/>
        <w:jc w:val="both"/>
        <w:rPr>
          <w:rFonts w:ascii="仿宋_GB2312" w:eastAsia="仿宋_GB2312" w:cs="Times New Roman"/>
          <w:color w:val="auto"/>
          <w:sz w:val="32"/>
          <w:szCs w:val="32"/>
        </w:rPr>
      </w:pPr>
      <w:r>
        <w:rPr>
          <w:rFonts w:ascii="仿宋_GB2312" w:eastAsia="仿宋_GB2312" w:cs="仿宋_GB2312"/>
          <w:color w:val="auto"/>
          <w:sz w:val="32"/>
          <w:szCs w:val="32"/>
        </w:rPr>
        <w:t>2</w:t>
      </w:r>
      <w:r>
        <w:rPr>
          <w:rFonts w:ascii="仿宋_GB2312" w:eastAsia="仿宋_GB2312" w:cs="仿宋_GB2312" w:hint="eastAsia"/>
          <w:color w:val="auto"/>
          <w:sz w:val="32"/>
          <w:szCs w:val="32"/>
        </w:rPr>
        <w:t>、健康管理：是指基于个人健康档案基础上的个体化健康事务管理服务，利用现代营养学和信息化管理技术，从社会、心理、环境、营养、运动的角度来对每个人进行全面的健康保障服务。通过综合医学体检，为高端群体开展健康管理全程服务，为服务对象提供健康评估，根据顾客健康状况提供个性化健康指导策略、干预措施。</w:t>
      </w:r>
    </w:p>
    <w:p w:rsidR="00195273" w:rsidRDefault="004F4DE5" w:rsidP="0013485A">
      <w:pPr>
        <w:pStyle w:val="a7"/>
        <w:spacing w:before="0" w:after="0" w:line="540" w:lineRule="exact"/>
        <w:ind w:firstLineChars="200" w:firstLine="640"/>
        <w:jc w:val="both"/>
        <w:rPr>
          <w:rFonts w:ascii="仿宋_GB2312" w:eastAsia="仿宋_GB2312" w:cs="Times New Roman"/>
          <w:color w:val="auto"/>
          <w:sz w:val="32"/>
          <w:szCs w:val="32"/>
        </w:rPr>
      </w:pPr>
      <w:r>
        <w:rPr>
          <w:rFonts w:ascii="仿宋_GB2312" w:eastAsia="仿宋_GB2312" w:cs="仿宋_GB2312"/>
          <w:color w:val="auto"/>
          <w:sz w:val="32"/>
          <w:szCs w:val="32"/>
        </w:rPr>
        <w:t>3</w:t>
      </w:r>
      <w:r>
        <w:rPr>
          <w:rFonts w:ascii="仿宋_GB2312" w:eastAsia="仿宋_GB2312" w:cs="仿宋_GB2312" w:hint="eastAsia"/>
          <w:color w:val="auto"/>
          <w:sz w:val="32"/>
          <w:szCs w:val="32"/>
        </w:rPr>
        <w:t>、健康信息：是指运用大数据、云计算、物联网三大技术，强化制度、标准和安全三大体系，健全人口、电子健康档案和电子病历三大基础数据库，实现公共卫生、计划生育、医疗服务、医疗保障、药品管理、综合管理等六大业务应用，建成省市县三级健康信息平台，形成医疗保障、医疗服务、健康管理等互联互通、交换共享、有效协同的健康信息服务网络。</w:t>
      </w:r>
    </w:p>
    <w:p w:rsidR="00195273" w:rsidRDefault="004F4DE5" w:rsidP="0013485A">
      <w:pPr>
        <w:pStyle w:val="a7"/>
        <w:spacing w:before="0" w:after="0" w:line="540" w:lineRule="exact"/>
        <w:ind w:firstLineChars="200" w:firstLine="640"/>
        <w:jc w:val="both"/>
        <w:rPr>
          <w:rFonts w:ascii="仿宋_GB2312" w:eastAsia="仿宋_GB2312" w:cs="Times New Roman"/>
          <w:color w:val="auto"/>
          <w:sz w:val="32"/>
          <w:szCs w:val="32"/>
        </w:rPr>
      </w:pPr>
      <w:r>
        <w:rPr>
          <w:rFonts w:ascii="仿宋_GB2312" w:eastAsia="仿宋_GB2312" w:cs="仿宋_GB2312"/>
          <w:color w:val="auto"/>
          <w:sz w:val="32"/>
          <w:szCs w:val="32"/>
        </w:rPr>
        <w:t>4</w:t>
      </w:r>
      <w:r>
        <w:rPr>
          <w:rFonts w:ascii="仿宋_GB2312" w:eastAsia="仿宋_GB2312" w:cs="仿宋_GB2312" w:hint="eastAsia"/>
          <w:color w:val="auto"/>
          <w:sz w:val="32"/>
          <w:szCs w:val="32"/>
        </w:rPr>
        <w:t>、健康保险：是指以被保险人的身体为保险标的，使被保险人在疾病或意外事故所致伤害时发生的费用或损失获得补偿的一种保险。健康保险按照保险责任，健康保险分为大病保险、疾病保险、</w:t>
      </w:r>
      <w:hyperlink r:id="rId10" w:tgtFrame="http://baike.baidu.com/view/_blank" w:history="1">
        <w:r>
          <w:rPr>
            <w:rFonts w:ascii="仿宋_GB2312" w:eastAsia="仿宋_GB2312" w:cs="仿宋_GB2312" w:hint="eastAsia"/>
            <w:color w:val="auto"/>
            <w:sz w:val="32"/>
            <w:szCs w:val="32"/>
          </w:rPr>
          <w:t>医疗保险</w:t>
        </w:r>
      </w:hyperlink>
      <w:r>
        <w:rPr>
          <w:rFonts w:ascii="仿宋_GB2312" w:eastAsia="仿宋_GB2312" w:cs="仿宋_GB2312" w:hint="eastAsia"/>
          <w:color w:val="auto"/>
          <w:sz w:val="32"/>
          <w:szCs w:val="32"/>
        </w:rPr>
        <w:t>、</w:t>
      </w:r>
      <w:hyperlink r:id="rId11" w:tgtFrame="http://baike.baidu.com/view/_blank" w:history="1">
        <w:r>
          <w:rPr>
            <w:rFonts w:ascii="仿宋_GB2312" w:eastAsia="仿宋_GB2312" w:cs="仿宋_GB2312" w:hint="eastAsia"/>
            <w:color w:val="auto"/>
            <w:sz w:val="32"/>
            <w:szCs w:val="32"/>
          </w:rPr>
          <w:t>收入保障保险</w:t>
        </w:r>
      </w:hyperlink>
      <w:r>
        <w:rPr>
          <w:rFonts w:ascii="仿宋_GB2312" w:eastAsia="仿宋_GB2312" w:cs="仿宋_GB2312" w:hint="eastAsia"/>
          <w:color w:val="auto"/>
          <w:sz w:val="32"/>
          <w:szCs w:val="32"/>
        </w:rPr>
        <w:t>、护理保险等，商业保险深度介入医疗服务市场，商业保险公司与基本医疗保险、各类健康服务机构的合作</w:t>
      </w:r>
      <w:r>
        <w:rPr>
          <w:rFonts w:ascii="仿宋_GB2312" w:eastAsia="仿宋_GB2312" w:cs="仿宋_GB2312" w:hint="eastAsia"/>
          <w:color w:val="auto"/>
          <w:sz w:val="32"/>
          <w:szCs w:val="32"/>
        </w:rPr>
        <w:lastRenderedPageBreak/>
        <w:t>发展，实现医疗卫生、基本医疗保险和商业健康保险信息共享与融合发展。</w:t>
      </w:r>
    </w:p>
    <w:p w:rsidR="00195273" w:rsidRDefault="004F4DE5" w:rsidP="0013485A">
      <w:pPr>
        <w:pStyle w:val="a7"/>
        <w:spacing w:before="0" w:after="0" w:line="540" w:lineRule="exact"/>
        <w:ind w:firstLineChars="200" w:firstLine="640"/>
        <w:jc w:val="both"/>
        <w:rPr>
          <w:rFonts w:ascii="仿宋_GB2312" w:eastAsia="仿宋_GB2312" w:cs="Times New Roman"/>
          <w:color w:val="auto"/>
          <w:sz w:val="32"/>
          <w:szCs w:val="32"/>
        </w:rPr>
      </w:pPr>
      <w:r>
        <w:rPr>
          <w:rFonts w:ascii="仿宋_GB2312" w:eastAsia="仿宋_GB2312" w:cs="仿宋_GB2312"/>
          <w:color w:val="auto"/>
          <w:sz w:val="32"/>
          <w:szCs w:val="32"/>
        </w:rPr>
        <w:t>5</w:t>
      </w:r>
      <w:r>
        <w:rPr>
          <w:rFonts w:ascii="仿宋_GB2312" w:eastAsia="仿宋_GB2312" w:cs="仿宋_GB2312" w:hint="eastAsia"/>
          <w:color w:val="auto"/>
          <w:sz w:val="32"/>
          <w:szCs w:val="32"/>
        </w:rPr>
        <w:t>、健康旅游与文化：是指以健康为主题</w:t>
      </w:r>
      <w:r>
        <w:rPr>
          <w:rFonts w:ascii="仿宋_GB2312" w:eastAsia="仿宋_GB2312" w:cs="仿宋_GB2312"/>
          <w:color w:val="auto"/>
          <w:sz w:val="32"/>
          <w:szCs w:val="32"/>
        </w:rPr>
        <w:t>,</w:t>
      </w:r>
      <w:r>
        <w:rPr>
          <w:rFonts w:ascii="仿宋_GB2312" w:eastAsia="仿宋_GB2312" w:cs="仿宋_GB2312" w:hint="eastAsia"/>
          <w:color w:val="auto"/>
          <w:sz w:val="32"/>
          <w:szCs w:val="32"/>
        </w:rPr>
        <w:t>依托优质医疗资源、海洋旅游资源及重点生态功能区，推动医疗、中医养生保健、体育健身等与旅游的联动发展，结合特定的健康项目</w:t>
      </w:r>
      <w:r>
        <w:rPr>
          <w:rFonts w:ascii="仿宋_GB2312" w:eastAsia="仿宋_GB2312" w:cs="仿宋_GB2312"/>
          <w:color w:val="auto"/>
          <w:sz w:val="32"/>
          <w:szCs w:val="32"/>
        </w:rPr>
        <w:t>,</w:t>
      </w:r>
      <w:r>
        <w:rPr>
          <w:rFonts w:ascii="仿宋_GB2312" w:eastAsia="仿宋_GB2312" w:cs="仿宋_GB2312" w:hint="eastAsia"/>
          <w:color w:val="auto"/>
          <w:sz w:val="32"/>
          <w:szCs w:val="32"/>
        </w:rPr>
        <w:t>帮助游客达到延年益寿、强身健体、医疗复健、修身养性等目的的专项旅游产品。创作健康文化精品、举办健康促进论坛等学术性和群众性健康文化活动，加强健康文化传播与交流，加强中医药文化遗产的保护和利用，建立健全健康教育体系。</w:t>
      </w:r>
    </w:p>
    <w:p w:rsidR="00195273" w:rsidRDefault="004F4DE5" w:rsidP="0013485A">
      <w:pPr>
        <w:pStyle w:val="a7"/>
        <w:spacing w:before="0" w:after="0" w:line="540" w:lineRule="exact"/>
        <w:ind w:firstLineChars="200" w:firstLine="640"/>
        <w:jc w:val="both"/>
        <w:rPr>
          <w:rFonts w:ascii="仿宋_GB2312" w:eastAsia="仿宋_GB2312" w:cs="Times New Roman"/>
          <w:color w:val="auto"/>
          <w:sz w:val="32"/>
          <w:szCs w:val="32"/>
        </w:rPr>
      </w:pPr>
      <w:r>
        <w:rPr>
          <w:rFonts w:ascii="仿宋_GB2312" w:eastAsia="仿宋_GB2312" w:cs="仿宋_GB2312"/>
          <w:color w:val="auto"/>
          <w:sz w:val="32"/>
          <w:szCs w:val="32"/>
        </w:rPr>
        <w:t>6</w:t>
      </w:r>
      <w:r>
        <w:rPr>
          <w:rFonts w:ascii="仿宋_GB2312" w:eastAsia="仿宋_GB2312" w:cs="仿宋_GB2312" w:hint="eastAsia"/>
          <w:color w:val="auto"/>
          <w:sz w:val="32"/>
          <w:szCs w:val="32"/>
        </w:rPr>
        <w:t>、照护康复：是指利用传统手段与现代技术，发展老年人健康管理、乐活休闲、康复促进、生活支援、医疗护理、临终关怀等服务。开展专业化、一体化的母婴护理服务和女性产后修复服务；发展适应不同人群需求的备孕调理、生产全程护理、孕妇产后康复、母婴专业营养饮食、新生儿早期智力开发等专业母婴护理服务；发展预防、治疗、康复、照护四位一体的康复服务体系。</w:t>
      </w:r>
    </w:p>
    <w:p w:rsidR="00195273" w:rsidRDefault="004F4DE5" w:rsidP="0013485A">
      <w:pPr>
        <w:pStyle w:val="a7"/>
        <w:spacing w:before="0" w:after="0" w:line="540" w:lineRule="exact"/>
        <w:ind w:firstLineChars="200" w:firstLine="640"/>
        <w:jc w:val="both"/>
        <w:rPr>
          <w:rFonts w:ascii="仿宋_GB2312" w:eastAsia="仿宋_GB2312" w:cs="Times New Roman"/>
          <w:color w:val="auto"/>
          <w:sz w:val="32"/>
          <w:szCs w:val="32"/>
        </w:rPr>
      </w:pPr>
      <w:r>
        <w:rPr>
          <w:rFonts w:ascii="仿宋_GB2312" w:eastAsia="仿宋_GB2312" w:cs="仿宋_GB2312"/>
          <w:color w:val="auto"/>
          <w:sz w:val="32"/>
          <w:szCs w:val="32"/>
        </w:rPr>
        <w:t>7</w:t>
      </w:r>
      <w:r>
        <w:rPr>
          <w:rFonts w:ascii="仿宋_GB2312" w:eastAsia="仿宋_GB2312" w:cs="仿宋_GB2312" w:hint="eastAsia"/>
          <w:color w:val="auto"/>
          <w:sz w:val="32"/>
          <w:szCs w:val="32"/>
        </w:rPr>
        <w:t>、中医药医疗保健：是指以中医药理论为基础，充分利用中医药传统疗法，发挥中医药营养饮食、慢病预防、中医治未病、保健康复等保健功能，促进中医药适宜技术的广泛应用，发展以体质辨识为基础的中医预防保健服务、中医药养生保健服务，形成浙江中医药地方特色优势。</w:t>
      </w:r>
    </w:p>
    <w:p w:rsidR="00195273" w:rsidRDefault="00195273" w:rsidP="0013485A">
      <w:pPr>
        <w:spacing w:line="540" w:lineRule="exact"/>
        <w:ind w:firstLineChars="200" w:firstLine="640"/>
        <w:rPr>
          <w:rFonts w:ascii="仿宋_GB2312" w:eastAsia="仿宋_GB2312" w:cs="Times New Roman"/>
          <w:sz w:val="32"/>
          <w:szCs w:val="32"/>
        </w:rPr>
      </w:pPr>
    </w:p>
    <w:p w:rsidR="00195273" w:rsidRDefault="00195273" w:rsidP="0013485A">
      <w:pPr>
        <w:spacing w:line="540" w:lineRule="exact"/>
        <w:ind w:firstLineChars="200" w:firstLine="640"/>
        <w:rPr>
          <w:rFonts w:ascii="仿宋_GB2312" w:eastAsia="仿宋_GB2312" w:cs="Times New Roman"/>
          <w:sz w:val="32"/>
          <w:szCs w:val="32"/>
        </w:rPr>
      </w:pPr>
    </w:p>
    <w:p w:rsidR="00195273" w:rsidRDefault="00195273" w:rsidP="0013485A">
      <w:pPr>
        <w:spacing w:line="540" w:lineRule="exact"/>
        <w:ind w:firstLineChars="200" w:firstLine="640"/>
        <w:rPr>
          <w:rFonts w:ascii="仿宋_GB2312" w:eastAsia="仿宋_GB2312" w:cs="Times New Roman"/>
          <w:sz w:val="32"/>
          <w:szCs w:val="32"/>
        </w:rPr>
      </w:pPr>
    </w:p>
    <w:p w:rsidR="00195273" w:rsidRDefault="004F4DE5">
      <w:pPr>
        <w:pStyle w:val="1"/>
        <w:widowControl/>
        <w:spacing w:before="0" w:after="0" w:line="540" w:lineRule="exact"/>
        <w:rPr>
          <w:rFonts w:ascii="仿宋_GB2312" w:eastAsia="仿宋_GB2312" w:cs="Times New Roman"/>
        </w:rPr>
      </w:pPr>
      <w:bookmarkStart w:id="94" w:name="_Toc20510"/>
      <w:bookmarkStart w:id="95" w:name="_Toc415619230"/>
      <w:bookmarkStart w:id="96" w:name="_Toc415615322"/>
      <w:r>
        <w:rPr>
          <w:rFonts w:ascii="仿宋_GB2312" w:eastAsia="仿宋_GB2312" w:cs="仿宋_GB2312" w:hint="eastAsia"/>
        </w:rPr>
        <w:t>附表</w:t>
      </w:r>
      <w:bookmarkEnd w:id="94"/>
    </w:p>
    <w:p w:rsidR="00195273" w:rsidRDefault="004F4DE5" w:rsidP="0013485A">
      <w:pPr>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1、丽水市健康制造业重点项目</w:t>
      </w:r>
      <w:bookmarkEnd w:id="95"/>
      <w:bookmarkEnd w:id="96"/>
      <w:r>
        <w:rPr>
          <w:rFonts w:ascii="仿宋_GB2312" w:eastAsia="仿宋_GB2312" w:cs="仿宋_GB2312" w:hint="eastAsia"/>
          <w:b/>
          <w:bCs/>
        </w:rPr>
        <w:t>（估算投资额5000万元以上）</w:t>
      </w:r>
    </w:p>
    <w:p w:rsidR="00195273" w:rsidRDefault="004F4DE5" w:rsidP="0013485A">
      <w:pPr>
        <w:ind w:firstLineChars="200" w:firstLine="643"/>
        <w:rPr>
          <w:rFonts w:ascii="仿宋_GB2312" w:eastAsia="仿宋_GB2312" w:cs="仿宋_GB2312"/>
          <w:b/>
          <w:bCs/>
        </w:rPr>
      </w:pPr>
      <w:r>
        <w:rPr>
          <w:rFonts w:ascii="仿宋_GB2312" w:eastAsia="仿宋_GB2312" w:cs="仿宋_GB2312"/>
          <w:b/>
          <w:bCs/>
          <w:sz w:val="32"/>
          <w:szCs w:val="32"/>
        </w:rPr>
        <w:t>2</w:t>
      </w:r>
      <w:r>
        <w:rPr>
          <w:rFonts w:ascii="仿宋_GB2312" w:eastAsia="仿宋_GB2312" w:cs="仿宋_GB2312" w:hint="eastAsia"/>
          <w:b/>
          <w:bCs/>
          <w:sz w:val="32"/>
          <w:szCs w:val="32"/>
        </w:rPr>
        <w:t>、丽水市健康服务业重点项目</w:t>
      </w:r>
      <w:r>
        <w:rPr>
          <w:rFonts w:ascii="仿宋_GB2312" w:eastAsia="仿宋_GB2312" w:cs="仿宋_GB2312" w:hint="eastAsia"/>
          <w:b/>
          <w:bCs/>
        </w:rPr>
        <w:t>（估算投资额5000万元以上）</w:t>
      </w:r>
    </w:p>
    <w:p w:rsidR="00195273" w:rsidRDefault="00195273">
      <w:pPr>
        <w:rPr>
          <w:rFonts w:ascii="仿宋_GB2312" w:eastAsia="仿宋_GB2312" w:cs="仿宋_GB2312"/>
          <w:b/>
          <w:bCs/>
        </w:rPr>
        <w:sectPr w:rsidR="00195273">
          <w:pgSz w:w="11906" w:h="16838"/>
          <w:pgMar w:top="1304" w:right="1304" w:bottom="1304" w:left="1304" w:header="851" w:footer="992" w:gutter="0"/>
          <w:pgNumType w:start="1"/>
          <w:cols w:space="720"/>
          <w:docGrid w:linePitch="312"/>
        </w:sectPr>
      </w:pPr>
    </w:p>
    <w:p w:rsidR="00195273" w:rsidRDefault="004F4DE5" w:rsidP="0013485A">
      <w:pPr>
        <w:ind w:firstLineChars="200" w:firstLine="422"/>
        <w:rPr>
          <w:rFonts w:ascii="仿宋_GB2312" w:eastAsia="仿宋_GB2312" w:cs="Times New Roman"/>
          <w:b/>
          <w:bCs/>
        </w:rPr>
      </w:pPr>
      <w:r>
        <w:rPr>
          <w:rFonts w:ascii="仿宋_GB2312" w:eastAsia="仿宋_GB2312" w:cs="仿宋_GB2312" w:hint="eastAsia"/>
          <w:b/>
          <w:bCs/>
        </w:rPr>
        <w:lastRenderedPageBreak/>
        <w:t>附表</w:t>
      </w:r>
      <w:r>
        <w:rPr>
          <w:rFonts w:ascii="仿宋_GB2312" w:eastAsia="仿宋_GB2312" w:cs="仿宋_GB2312"/>
          <w:b/>
          <w:bCs/>
        </w:rPr>
        <w:t>1</w:t>
      </w:r>
      <w:r>
        <w:rPr>
          <w:rFonts w:ascii="仿宋_GB2312" w:eastAsia="仿宋_GB2312" w:cs="仿宋_GB2312" w:hint="eastAsia"/>
          <w:b/>
          <w:bCs/>
        </w:rPr>
        <w:t>：</w:t>
      </w:r>
    </w:p>
    <w:p w:rsidR="00195273" w:rsidRDefault="004F4DE5">
      <w:pPr>
        <w:widowControl/>
        <w:jc w:val="center"/>
        <w:rPr>
          <w:rFonts w:ascii="宋体" w:cs="Times New Roman"/>
          <w:b/>
          <w:bCs/>
          <w:sz w:val="32"/>
          <w:szCs w:val="32"/>
        </w:rPr>
      </w:pPr>
      <w:r>
        <w:rPr>
          <w:rFonts w:ascii="宋体" w:hAnsi="宋体" w:cs="宋体" w:hint="eastAsia"/>
          <w:b/>
          <w:bCs/>
          <w:sz w:val="32"/>
          <w:szCs w:val="32"/>
        </w:rPr>
        <w:t>丽水市健康制造业重点项目（估算投资额</w:t>
      </w:r>
      <w:r>
        <w:rPr>
          <w:rFonts w:ascii="宋体" w:hAnsi="宋体" w:cs="宋体"/>
          <w:b/>
          <w:bCs/>
          <w:sz w:val="32"/>
          <w:szCs w:val="32"/>
        </w:rPr>
        <w:t>5000</w:t>
      </w:r>
      <w:r>
        <w:rPr>
          <w:rFonts w:ascii="宋体" w:hAnsi="宋体" w:cs="宋体" w:hint="eastAsia"/>
          <w:b/>
          <w:bCs/>
          <w:sz w:val="32"/>
          <w:szCs w:val="32"/>
        </w:rPr>
        <w:t>万元以上）</w:t>
      </w:r>
    </w:p>
    <w:p w:rsidR="00195273" w:rsidRDefault="004F4DE5">
      <w:pPr>
        <w:widowControl/>
        <w:jc w:val="center"/>
        <w:rPr>
          <w:rFonts w:ascii="宋体" w:cs="Times New Roman"/>
          <w:b/>
          <w:bCs/>
          <w:kern w:val="0"/>
          <w:sz w:val="24"/>
          <w:szCs w:val="24"/>
        </w:rPr>
      </w:pPr>
      <w:r>
        <w:rPr>
          <w:rFonts w:ascii="仿宋_GB2312" w:eastAsia="仿宋_GB2312" w:cs="仿宋_GB2312" w:hint="eastAsia"/>
          <w:sz w:val="24"/>
          <w:szCs w:val="24"/>
        </w:rPr>
        <w:t>单位：万元</w:t>
      </w:r>
    </w:p>
    <w:tbl>
      <w:tblPr>
        <w:tblW w:w="11359" w:type="dxa"/>
        <w:jc w:val="center"/>
        <w:tblInd w:w="-317" w:type="dxa"/>
        <w:tblLayout w:type="fixed"/>
        <w:tblCellMar>
          <w:left w:w="0" w:type="dxa"/>
          <w:right w:w="0" w:type="dxa"/>
        </w:tblCellMar>
        <w:tblLook w:val="04A0" w:firstRow="1" w:lastRow="0" w:firstColumn="1" w:lastColumn="0" w:noHBand="0" w:noVBand="1"/>
      </w:tblPr>
      <w:tblGrid>
        <w:gridCol w:w="649"/>
        <w:gridCol w:w="946"/>
        <w:gridCol w:w="878"/>
        <w:gridCol w:w="691"/>
        <w:gridCol w:w="852"/>
        <w:gridCol w:w="3721"/>
        <w:gridCol w:w="846"/>
        <w:gridCol w:w="737"/>
        <w:gridCol w:w="683"/>
        <w:gridCol w:w="1356"/>
      </w:tblGrid>
      <w:tr w:rsidR="00AC2A0C" w:rsidTr="00AC2A0C">
        <w:trPr>
          <w:trHeight w:val="312"/>
          <w:jc w:val="center"/>
        </w:trPr>
        <w:tc>
          <w:tcPr>
            <w:tcW w:w="64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hint="eastAsia"/>
                <w:kern w:val="0"/>
                <w:sz w:val="20"/>
                <w:szCs w:val="20"/>
              </w:rPr>
              <w:t>序号</w:t>
            </w:r>
          </w:p>
        </w:tc>
        <w:tc>
          <w:tcPr>
            <w:tcW w:w="94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项目名称</w:t>
            </w:r>
          </w:p>
        </w:tc>
        <w:tc>
          <w:tcPr>
            <w:tcW w:w="8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企业名称</w:t>
            </w:r>
          </w:p>
        </w:tc>
        <w:tc>
          <w:tcPr>
            <w:tcW w:w="69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所属</w:t>
            </w:r>
            <w:r>
              <w:rPr>
                <w:rFonts w:ascii="宋体" w:cs="Times New Roman"/>
                <w:kern w:val="0"/>
                <w:sz w:val="20"/>
                <w:szCs w:val="20"/>
              </w:rPr>
              <w:br/>
            </w:r>
            <w:r>
              <w:rPr>
                <w:rFonts w:ascii="宋体" w:hAnsi="宋体" w:cs="宋体" w:hint="eastAsia"/>
                <w:kern w:val="0"/>
                <w:sz w:val="20"/>
                <w:szCs w:val="20"/>
              </w:rPr>
              <w:t>行业</w:t>
            </w:r>
          </w:p>
        </w:tc>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战略新兴产业项目所属领域</w:t>
            </w:r>
          </w:p>
        </w:tc>
        <w:tc>
          <w:tcPr>
            <w:tcW w:w="3721"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项目主要内容</w:t>
            </w:r>
          </w:p>
        </w:tc>
        <w:tc>
          <w:tcPr>
            <w:tcW w:w="84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项目总投资</w:t>
            </w:r>
          </w:p>
        </w:tc>
        <w:tc>
          <w:tcPr>
            <w:tcW w:w="73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到</w:t>
            </w:r>
            <w:r>
              <w:rPr>
                <w:rFonts w:ascii="宋体" w:hAnsi="宋体" w:cs="宋体"/>
                <w:kern w:val="0"/>
                <w:sz w:val="20"/>
                <w:szCs w:val="20"/>
              </w:rPr>
              <w:t>2014</w:t>
            </w:r>
            <w:r>
              <w:rPr>
                <w:rFonts w:ascii="宋体" w:hAnsi="宋体" w:cs="宋体" w:hint="eastAsia"/>
                <w:kern w:val="0"/>
                <w:sz w:val="20"/>
                <w:szCs w:val="20"/>
              </w:rPr>
              <w:t>年底已累计投资</w:t>
            </w:r>
          </w:p>
        </w:tc>
        <w:tc>
          <w:tcPr>
            <w:tcW w:w="68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2015</w:t>
            </w:r>
            <w:r>
              <w:rPr>
                <w:rFonts w:ascii="宋体" w:hAnsi="宋体" w:cs="宋体" w:hint="eastAsia"/>
                <w:kern w:val="0"/>
                <w:sz w:val="20"/>
                <w:szCs w:val="20"/>
              </w:rPr>
              <w:t>年计划投资</w:t>
            </w:r>
          </w:p>
        </w:tc>
        <w:tc>
          <w:tcPr>
            <w:tcW w:w="135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Times New Roman" w:hAnsi="Times New Roman" w:cs="Times New Roman"/>
                <w:kern w:val="0"/>
                <w:sz w:val="20"/>
                <w:szCs w:val="20"/>
              </w:rPr>
            </w:pPr>
            <w:r>
              <w:rPr>
                <w:rFonts w:ascii="宋体" w:hAnsi="宋体" w:cs="宋体" w:hint="eastAsia"/>
                <w:kern w:val="0"/>
                <w:sz w:val="20"/>
                <w:szCs w:val="20"/>
              </w:rPr>
              <w:t>项目起止年限</w:t>
            </w:r>
          </w:p>
        </w:tc>
      </w:tr>
      <w:tr w:rsidR="00AC2A0C" w:rsidTr="00AC2A0C">
        <w:trPr>
          <w:trHeight w:val="480"/>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AC2A0C" w:rsidRDefault="00AC2A0C" w:rsidP="00AC2A0C">
            <w:pPr>
              <w:widowControl/>
              <w:jc w:val="center"/>
              <w:rPr>
                <w:rFonts w:ascii="宋体" w:cs="Times New Roman"/>
                <w:kern w:val="0"/>
                <w:sz w:val="20"/>
                <w:szCs w:val="20"/>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AC2A0C" w:rsidRDefault="00AC2A0C">
            <w:pPr>
              <w:widowControl/>
              <w:jc w:val="left"/>
              <w:rPr>
                <w:rFonts w:ascii="宋体" w:cs="Times New Roman"/>
                <w:kern w:val="0"/>
                <w:sz w:val="20"/>
                <w:szCs w:val="20"/>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AC2A0C" w:rsidRDefault="00AC2A0C">
            <w:pPr>
              <w:widowControl/>
              <w:jc w:val="left"/>
              <w:rPr>
                <w:rFonts w:ascii="宋体" w:cs="Times New Roman"/>
                <w:kern w:val="0"/>
                <w:sz w:val="20"/>
                <w:szCs w:val="20"/>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AC2A0C" w:rsidRDefault="00AC2A0C">
            <w:pPr>
              <w:widowControl/>
              <w:jc w:val="left"/>
              <w:rPr>
                <w:rFonts w:ascii="宋体" w:cs="Times New Roman"/>
                <w:kern w:val="0"/>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C2A0C" w:rsidRDefault="00AC2A0C">
            <w:pPr>
              <w:widowControl/>
              <w:jc w:val="left"/>
              <w:rPr>
                <w:rFonts w:ascii="宋体" w:cs="Times New Roman"/>
                <w:kern w:val="0"/>
                <w:sz w:val="20"/>
                <w:szCs w:val="20"/>
              </w:rPr>
            </w:pPr>
          </w:p>
        </w:tc>
        <w:tc>
          <w:tcPr>
            <w:tcW w:w="3721" w:type="dxa"/>
            <w:vMerge/>
            <w:tcBorders>
              <w:top w:val="single" w:sz="4" w:space="0" w:color="auto"/>
              <w:left w:val="single" w:sz="4" w:space="0" w:color="auto"/>
              <w:bottom w:val="single" w:sz="4" w:space="0" w:color="000000"/>
              <w:right w:val="single" w:sz="4" w:space="0" w:color="auto"/>
            </w:tcBorders>
            <w:vAlign w:val="center"/>
          </w:tcPr>
          <w:p w:rsidR="00AC2A0C" w:rsidRDefault="00AC2A0C">
            <w:pPr>
              <w:widowControl/>
              <w:jc w:val="left"/>
              <w:rPr>
                <w:rFonts w:ascii="宋体" w:cs="Times New Roman"/>
                <w:kern w:val="0"/>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AC2A0C" w:rsidRDefault="00AC2A0C">
            <w:pPr>
              <w:widowControl/>
              <w:jc w:val="left"/>
              <w:rPr>
                <w:rFonts w:ascii="宋体" w:cs="Times New Roman"/>
                <w:kern w:val="0"/>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AC2A0C" w:rsidRDefault="00AC2A0C">
            <w:pPr>
              <w:widowControl/>
              <w:jc w:val="left"/>
              <w:rPr>
                <w:rFonts w:ascii="宋体" w:cs="Times New Roman"/>
                <w:kern w:val="0"/>
                <w:sz w:val="20"/>
                <w:szCs w:val="20"/>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AC2A0C" w:rsidRDefault="00AC2A0C">
            <w:pPr>
              <w:widowControl/>
              <w:jc w:val="left"/>
              <w:rPr>
                <w:rFonts w:ascii="宋体" w:cs="Times New Roman"/>
                <w:kern w:val="0"/>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AC2A0C" w:rsidRDefault="00AC2A0C">
            <w:pPr>
              <w:widowControl/>
              <w:jc w:val="left"/>
              <w:rPr>
                <w:rFonts w:ascii="宋体" w:cs="Times New Roman"/>
                <w:kern w:val="0"/>
                <w:sz w:val="20"/>
                <w:szCs w:val="20"/>
              </w:rPr>
            </w:pPr>
          </w:p>
        </w:tc>
      </w:tr>
      <w:tr w:rsidR="00AC2A0C" w:rsidTr="00AC2A0C">
        <w:trPr>
          <w:trHeight w:val="168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1</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年产</w:t>
            </w:r>
            <w:r>
              <w:rPr>
                <w:rFonts w:ascii="宋体" w:hAnsi="宋体" w:cs="宋体"/>
                <w:kern w:val="0"/>
                <w:sz w:val="20"/>
                <w:szCs w:val="20"/>
              </w:rPr>
              <w:t>1000</w:t>
            </w:r>
            <w:r>
              <w:rPr>
                <w:rFonts w:ascii="宋体" w:hAnsi="宋体" w:cs="宋体" w:hint="eastAsia"/>
                <w:kern w:val="0"/>
                <w:sz w:val="20"/>
                <w:szCs w:val="20"/>
              </w:rPr>
              <w:t>台癌症早期检测仪生产基地</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安派科生物医学科技（丽水）有限公司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医疗仪器设备及器械制造</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高端装备</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该项目属国家“千人计划”项目。公司拥有</w:t>
            </w:r>
            <w:r>
              <w:rPr>
                <w:rFonts w:ascii="宋体" w:hAnsi="宋体" w:cs="宋体"/>
                <w:kern w:val="0"/>
                <w:sz w:val="20"/>
                <w:szCs w:val="20"/>
              </w:rPr>
              <w:t>40</w:t>
            </w:r>
            <w:r>
              <w:rPr>
                <w:rFonts w:ascii="宋体" w:hAnsi="宋体" w:cs="宋体" w:hint="eastAsia"/>
                <w:kern w:val="0"/>
                <w:sz w:val="20"/>
                <w:szCs w:val="20"/>
              </w:rPr>
              <w:t>多项专利，完成了一代产品的研发，并已提供临床试验，打造一流早期肿瘤体外检测仪器的生产基地。该种设备目前在医疗市场上仍属空白，且价格较低，具有巨大的市场前景。项目新增建筑面积</w:t>
            </w:r>
            <w:r>
              <w:rPr>
                <w:rFonts w:ascii="宋体" w:hAnsi="宋体" w:cs="宋体"/>
                <w:kern w:val="0"/>
                <w:sz w:val="20"/>
                <w:szCs w:val="20"/>
              </w:rPr>
              <w:t>73260</w:t>
            </w:r>
            <w:r>
              <w:rPr>
                <w:rFonts w:ascii="宋体" w:hAnsi="宋体" w:cs="宋体" w:hint="eastAsia"/>
                <w:kern w:val="0"/>
                <w:sz w:val="20"/>
                <w:szCs w:val="20"/>
              </w:rPr>
              <w:t>平方米。</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22286</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2040</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宋体"/>
                <w:kern w:val="0"/>
                <w:sz w:val="20"/>
                <w:szCs w:val="20"/>
              </w:rPr>
            </w:pPr>
            <w:r>
              <w:rPr>
                <w:rFonts w:ascii="Times New Roman" w:hAnsi="Times New Roman" w:cs="Times New Roman"/>
                <w:kern w:val="0"/>
                <w:sz w:val="20"/>
                <w:szCs w:val="20"/>
              </w:rPr>
              <w:t>5</w:t>
            </w:r>
            <w:r>
              <w:rPr>
                <w:rFonts w:ascii="宋体" w:cs="宋体"/>
                <w:kern w:val="0"/>
                <w:sz w:val="20"/>
                <w:szCs w:val="20"/>
              </w:rPr>
              <w:t>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r>
              <w:rPr>
                <w:rFonts w:ascii="宋体" w:hAnsi="宋体" w:cs="宋体"/>
                <w:kern w:val="0"/>
                <w:sz w:val="20"/>
                <w:szCs w:val="20"/>
              </w:rPr>
              <w:t>2013-2015</w:t>
            </w:r>
          </w:p>
        </w:tc>
      </w:tr>
      <w:tr w:rsidR="00AC2A0C" w:rsidTr="00AC2A0C">
        <w:trPr>
          <w:trHeight w:val="120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2</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年产</w:t>
            </w:r>
            <w:r>
              <w:rPr>
                <w:rFonts w:ascii="宋体" w:hAnsi="宋体" w:cs="宋体"/>
                <w:kern w:val="0"/>
                <w:sz w:val="20"/>
                <w:szCs w:val="20"/>
              </w:rPr>
              <w:t>1875</w:t>
            </w:r>
            <w:r>
              <w:rPr>
                <w:rFonts w:ascii="宋体" w:hAnsi="宋体" w:cs="宋体" w:hint="eastAsia"/>
                <w:kern w:val="0"/>
                <w:sz w:val="20"/>
                <w:szCs w:val="20"/>
              </w:rPr>
              <w:t>吨山茶油项目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浙江嘉邦农业科技发展有限公司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农副食品加工业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项目主要采用一程式的加工技术或工艺，项目建成后形成年产</w:t>
            </w:r>
            <w:r>
              <w:rPr>
                <w:rFonts w:ascii="宋体" w:hAnsi="宋体" w:cs="宋体"/>
                <w:kern w:val="0"/>
                <w:sz w:val="20"/>
                <w:szCs w:val="20"/>
              </w:rPr>
              <w:t>1875</w:t>
            </w:r>
            <w:r>
              <w:rPr>
                <w:rFonts w:ascii="宋体" w:hAnsi="宋体" w:cs="宋体" w:hint="eastAsia"/>
                <w:kern w:val="0"/>
                <w:sz w:val="20"/>
                <w:szCs w:val="20"/>
              </w:rPr>
              <w:t>吨山茶油的生产能力，产品具有油品纯正，香味独特特点。</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13000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8000</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2500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2013</w:t>
            </w:r>
            <w:r>
              <w:rPr>
                <w:rFonts w:ascii="Times New Roman" w:hAnsi="Times New Roman" w:cs="Times New Roman"/>
                <w:kern w:val="0"/>
                <w:sz w:val="20"/>
                <w:szCs w:val="20"/>
              </w:rPr>
              <w:t>-</w:t>
            </w:r>
            <w:r>
              <w:rPr>
                <w:rFonts w:ascii="宋体" w:hAnsi="宋体" w:cs="宋体"/>
                <w:kern w:val="0"/>
                <w:sz w:val="20"/>
                <w:szCs w:val="20"/>
              </w:rPr>
              <w:t>2015</w:t>
            </w:r>
          </w:p>
        </w:tc>
      </w:tr>
      <w:tr w:rsidR="00AC2A0C" w:rsidTr="00AC2A0C">
        <w:trPr>
          <w:trHeight w:val="216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3</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油茶籽精深加工与综合利用</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青田中野植物科技有限公司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农副食品加工业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项目主要采用压榨、提取、回收、精练等技术或工艺。项目建成后形成年产压榨山茶油</w:t>
            </w:r>
            <w:r>
              <w:rPr>
                <w:rFonts w:ascii="宋体" w:hAnsi="宋体" w:cs="宋体"/>
                <w:kern w:val="0"/>
                <w:sz w:val="20"/>
                <w:szCs w:val="20"/>
              </w:rPr>
              <w:t>500</w:t>
            </w:r>
            <w:r>
              <w:rPr>
                <w:rFonts w:ascii="宋体" w:hAnsi="宋体" w:cs="宋体" w:hint="eastAsia"/>
                <w:kern w:val="0"/>
                <w:sz w:val="20"/>
                <w:szCs w:val="20"/>
              </w:rPr>
              <w:t>吨、精制山茶油</w:t>
            </w:r>
            <w:r>
              <w:rPr>
                <w:rFonts w:ascii="宋体" w:hAnsi="宋体" w:cs="宋体"/>
                <w:kern w:val="0"/>
                <w:sz w:val="20"/>
                <w:szCs w:val="20"/>
              </w:rPr>
              <w:t>300</w:t>
            </w:r>
            <w:r>
              <w:rPr>
                <w:rFonts w:ascii="宋体" w:hAnsi="宋体" w:cs="宋体" w:hint="eastAsia"/>
                <w:kern w:val="0"/>
                <w:sz w:val="20"/>
                <w:szCs w:val="20"/>
              </w:rPr>
              <w:t>吨、茶皂素</w:t>
            </w:r>
            <w:r>
              <w:rPr>
                <w:rFonts w:ascii="宋体" w:hAnsi="宋体" w:cs="宋体"/>
                <w:kern w:val="0"/>
                <w:sz w:val="20"/>
                <w:szCs w:val="20"/>
              </w:rPr>
              <w:t>1000</w:t>
            </w:r>
            <w:r>
              <w:rPr>
                <w:rFonts w:ascii="宋体" w:hAnsi="宋体" w:cs="宋体" w:hint="eastAsia"/>
                <w:kern w:val="0"/>
                <w:sz w:val="20"/>
                <w:szCs w:val="20"/>
              </w:rPr>
              <w:t>吨、混凝土引气剂</w:t>
            </w:r>
            <w:r>
              <w:rPr>
                <w:rFonts w:ascii="宋体" w:hAnsi="宋体" w:cs="宋体"/>
                <w:kern w:val="0"/>
                <w:sz w:val="20"/>
                <w:szCs w:val="20"/>
              </w:rPr>
              <w:t>2000</w:t>
            </w:r>
            <w:r>
              <w:rPr>
                <w:rFonts w:ascii="宋体" w:hAnsi="宋体" w:cs="宋体" w:hint="eastAsia"/>
                <w:kern w:val="0"/>
                <w:sz w:val="20"/>
                <w:szCs w:val="20"/>
              </w:rPr>
              <w:t>吨、油田泡沫剂</w:t>
            </w:r>
            <w:r>
              <w:rPr>
                <w:rFonts w:ascii="宋体" w:hAnsi="宋体" w:cs="宋体"/>
                <w:kern w:val="0"/>
                <w:sz w:val="20"/>
                <w:szCs w:val="20"/>
              </w:rPr>
              <w:t>2000</w:t>
            </w:r>
            <w:r>
              <w:rPr>
                <w:rFonts w:ascii="宋体" w:hAnsi="宋体" w:cs="宋体" w:hint="eastAsia"/>
                <w:kern w:val="0"/>
                <w:sz w:val="20"/>
                <w:szCs w:val="20"/>
              </w:rPr>
              <w:t>吨、电镀清洗剂</w:t>
            </w:r>
            <w:r>
              <w:rPr>
                <w:rFonts w:ascii="宋体" w:hAnsi="宋体" w:cs="宋体"/>
                <w:kern w:val="0"/>
                <w:sz w:val="20"/>
                <w:szCs w:val="20"/>
              </w:rPr>
              <w:t>5000</w:t>
            </w:r>
            <w:r>
              <w:rPr>
                <w:rFonts w:ascii="宋体" w:hAnsi="宋体" w:cs="宋体" w:hint="eastAsia"/>
                <w:kern w:val="0"/>
                <w:sz w:val="20"/>
                <w:szCs w:val="20"/>
              </w:rPr>
              <w:t>吨、颗粒有机肥料</w:t>
            </w:r>
            <w:r>
              <w:rPr>
                <w:rFonts w:ascii="宋体" w:hAnsi="宋体" w:cs="宋体"/>
                <w:kern w:val="0"/>
                <w:sz w:val="20"/>
                <w:szCs w:val="20"/>
              </w:rPr>
              <w:t>10000</w:t>
            </w:r>
            <w:r>
              <w:rPr>
                <w:rFonts w:ascii="宋体" w:hAnsi="宋体" w:cs="宋体" w:hint="eastAsia"/>
                <w:kern w:val="0"/>
                <w:sz w:val="20"/>
                <w:szCs w:val="20"/>
              </w:rPr>
              <w:t>吨的生产能力，产品具有天然、健康、环保的特点。</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5490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宋体"/>
                <w:kern w:val="0"/>
                <w:sz w:val="20"/>
                <w:szCs w:val="20"/>
              </w:rPr>
            </w:pPr>
            <w:r>
              <w:rPr>
                <w:rFonts w:ascii="宋体" w:cs="宋体"/>
                <w:kern w:val="0"/>
                <w:sz w:val="20"/>
                <w:szCs w:val="20"/>
              </w:rPr>
              <w:t>0</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2014</w:t>
            </w:r>
            <w:r>
              <w:rPr>
                <w:rFonts w:ascii="Times New Roman" w:hAnsi="Times New Roman" w:cs="Times New Roman"/>
                <w:kern w:val="0"/>
                <w:sz w:val="20"/>
                <w:szCs w:val="20"/>
              </w:rPr>
              <w:t>-</w:t>
            </w:r>
            <w:r>
              <w:rPr>
                <w:rFonts w:ascii="宋体" w:hAnsi="宋体" w:cs="宋体"/>
                <w:kern w:val="0"/>
                <w:sz w:val="20"/>
                <w:szCs w:val="20"/>
              </w:rPr>
              <w:t>2016</w:t>
            </w:r>
          </w:p>
        </w:tc>
      </w:tr>
      <w:tr w:rsidR="00AC2A0C" w:rsidTr="00AC2A0C">
        <w:trPr>
          <w:trHeight w:val="96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4</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年产</w:t>
            </w:r>
            <w:r>
              <w:rPr>
                <w:rFonts w:ascii="宋体" w:hAnsi="宋体" w:cs="宋体"/>
                <w:kern w:val="0"/>
                <w:sz w:val="20"/>
                <w:szCs w:val="20"/>
              </w:rPr>
              <w:t>400</w:t>
            </w:r>
            <w:r>
              <w:rPr>
                <w:rFonts w:ascii="宋体" w:hAnsi="宋体" w:cs="宋体" w:hint="eastAsia"/>
                <w:kern w:val="0"/>
                <w:sz w:val="20"/>
                <w:szCs w:val="20"/>
              </w:rPr>
              <w:t>吨噻吩乙醇等医药中间体项目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浙江荣凯化工科技有限公司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化学原料及化学制品制造业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精细化工</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占地</w:t>
            </w:r>
            <w:r>
              <w:rPr>
                <w:rFonts w:ascii="宋体" w:hAnsi="宋体" w:cs="宋体"/>
                <w:kern w:val="0"/>
                <w:sz w:val="20"/>
                <w:szCs w:val="20"/>
              </w:rPr>
              <w:t>46.6</w:t>
            </w:r>
            <w:r>
              <w:rPr>
                <w:rFonts w:ascii="宋体" w:hAnsi="宋体" w:cs="宋体" w:hint="eastAsia"/>
                <w:kern w:val="0"/>
                <w:sz w:val="20"/>
                <w:szCs w:val="20"/>
              </w:rPr>
              <w:t>亩，标准厂房、办公楼及生产性附属设施等。</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7000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宋体"/>
                <w:kern w:val="0"/>
                <w:sz w:val="20"/>
                <w:szCs w:val="20"/>
              </w:rPr>
            </w:pPr>
            <w:r>
              <w:rPr>
                <w:rFonts w:ascii="宋体" w:cs="宋体"/>
                <w:kern w:val="0"/>
                <w:sz w:val="20"/>
                <w:szCs w:val="20"/>
              </w:rPr>
              <w:t>0</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3500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2013</w:t>
            </w:r>
            <w:r>
              <w:rPr>
                <w:rFonts w:ascii="Times New Roman" w:hAnsi="Times New Roman" w:cs="Times New Roman"/>
                <w:kern w:val="0"/>
                <w:sz w:val="20"/>
                <w:szCs w:val="20"/>
              </w:rPr>
              <w:t>-</w:t>
            </w:r>
            <w:r>
              <w:rPr>
                <w:rFonts w:ascii="宋体" w:hAnsi="宋体" w:cs="宋体"/>
                <w:kern w:val="0"/>
                <w:sz w:val="20"/>
                <w:szCs w:val="20"/>
              </w:rPr>
              <w:t>2014</w:t>
            </w:r>
          </w:p>
        </w:tc>
      </w:tr>
      <w:tr w:rsidR="00AC2A0C" w:rsidTr="00AC2A0C">
        <w:trPr>
          <w:trHeight w:val="216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lastRenderedPageBreak/>
              <w:t>5</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年产</w:t>
            </w:r>
            <w:r>
              <w:rPr>
                <w:rFonts w:ascii="宋体" w:hAnsi="宋体" w:cs="宋体"/>
                <w:kern w:val="0"/>
                <w:sz w:val="20"/>
                <w:szCs w:val="20"/>
              </w:rPr>
              <w:t>1000</w:t>
            </w:r>
            <w:r>
              <w:rPr>
                <w:rFonts w:ascii="宋体" w:hAnsi="宋体" w:cs="宋体" w:hint="eastAsia"/>
                <w:kern w:val="0"/>
                <w:sz w:val="20"/>
                <w:szCs w:val="20"/>
              </w:rPr>
              <w:t>吨功能性速溶茶系列产品生产线项目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浙江振通宏茶业有限公司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饮料制造业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生物产业</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项目，形成年产</w:t>
            </w:r>
            <w:r>
              <w:rPr>
                <w:rFonts w:ascii="宋体" w:hAnsi="宋体" w:cs="宋体"/>
                <w:kern w:val="0"/>
                <w:sz w:val="20"/>
                <w:szCs w:val="20"/>
              </w:rPr>
              <w:t>1000</w:t>
            </w:r>
            <w:r>
              <w:rPr>
                <w:rFonts w:ascii="宋体" w:hAnsi="宋体" w:cs="宋体" w:hint="eastAsia"/>
                <w:kern w:val="0"/>
                <w:sz w:val="20"/>
                <w:szCs w:val="20"/>
              </w:rPr>
              <w:t>吨高γ</w:t>
            </w:r>
            <w:r>
              <w:rPr>
                <w:rFonts w:ascii="宋体" w:cs="宋体"/>
                <w:kern w:val="0"/>
                <w:sz w:val="20"/>
                <w:szCs w:val="20"/>
              </w:rPr>
              <w:t>-</w:t>
            </w:r>
            <w:r>
              <w:rPr>
                <w:rFonts w:ascii="宋体" w:hAnsi="宋体" w:cs="宋体" w:hint="eastAsia"/>
                <w:kern w:val="0"/>
                <w:sz w:val="20"/>
                <w:szCs w:val="20"/>
              </w:rPr>
              <w:t>氨基丁速溶茶、高氨基酸速溶茶、低咖啡因速溶茶、高茶黄素速溶红茶等功能性速溶系列产品生产能力，产品具有健康、保健等特点，可实现年销售收入</w:t>
            </w:r>
            <w:r>
              <w:rPr>
                <w:rFonts w:ascii="宋体" w:hAnsi="宋体" w:cs="宋体"/>
                <w:kern w:val="0"/>
                <w:sz w:val="20"/>
                <w:szCs w:val="20"/>
              </w:rPr>
              <w:t>25600</w:t>
            </w:r>
            <w:r>
              <w:rPr>
                <w:rFonts w:ascii="宋体" w:hAnsi="宋体" w:cs="宋体" w:hint="eastAsia"/>
                <w:kern w:val="0"/>
                <w:sz w:val="20"/>
                <w:szCs w:val="20"/>
              </w:rPr>
              <w:t>万元，利润</w:t>
            </w:r>
            <w:r>
              <w:rPr>
                <w:rFonts w:ascii="宋体" w:hAnsi="宋体" w:cs="宋体"/>
                <w:kern w:val="0"/>
                <w:sz w:val="20"/>
                <w:szCs w:val="20"/>
              </w:rPr>
              <w:t>1372</w:t>
            </w:r>
            <w:r>
              <w:rPr>
                <w:rFonts w:ascii="宋体" w:hAnsi="宋体" w:cs="宋体" w:hint="eastAsia"/>
                <w:kern w:val="0"/>
                <w:sz w:val="20"/>
                <w:szCs w:val="20"/>
              </w:rPr>
              <w:t>万元，税金</w:t>
            </w:r>
            <w:r>
              <w:rPr>
                <w:rFonts w:ascii="宋体" w:hAnsi="宋体" w:cs="宋体"/>
                <w:kern w:val="0"/>
                <w:sz w:val="20"/>
                <w:szCs w:val="20"/>
              </w:rPr>
              <w:t>848</w:t>
            </w:r>
            <w:r>
              <w:rPr>
                <w:rFonts w:ascii="宋体" w:hAnsi="宋体" w:cs="宋体" w:hint="eastAsia"/>
                <w:kern w:val="0"/>
                <w:sz w:val="20"/>
                <w:szCs w:val="20"/>
              </w:rPr>
              <w:t>万元。项目总占地面积</w:t>
            </w:r>
            <w:r>
              <w:rPr>
                <w:rFonts w:ascii="宋体" w:hAnsi="宋体" w:cs="宋体"/>
                <w:kern w:val="0"/>
                <w:sz w:val="20"/>
                <w:szCs w:val="20"/>
              </w:rPr>
              <w:t>18782</w:t>
            </w:r>
            <w:r>
              <w:rPr>
                <w:rFonts w:ascii="宋体" w:hAnsi="宋体" w:cs="宋体" w:hint="eastAsia"/>
                <w:kern w:val="0"/>
                <w:sz w:val="20"/>
                <w:szCs w:val="20"/>
              </w:rPr>
              <w:t>平方米，项目总建筑面积</w:t>
            </w:r>
            <w:r>
              <w:rPr>
                <w:rFonts w:ascii="宋体" w:hAnsi="宋体" w:cs="宋体"/>
                <w:kern w:val="0"/>
                <w:sz w:val="20"/>
                <w:szCs w:val="20"/>
              </w:rPr>
              <w:t>52416</w:t>
            </w:r>
            <w:r>
              <w:rPr>
                <w:rFonts w:ascii="宋体" w:hAnsi="宋体" w:cs="宋体" w:hint="eastAsia"/>
                <w:kern w:val="0"/>
                <w:sz w:val="20"/>
                <w:szCs w:val="20"/>
              </w:rPr>
              <w:t>平方米</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10880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7</w:t>
            </w:r>
            <w:r>
              <w:rPr>
                <w:rFonts w:ascii="Times New Roman" w:hAnsi="Times New Roman" w:cs="Times New Roman"/>
                <w:kern w:val="0"/>
                <w:sz w:val="20"/>
                <w:szCs w:val="20"/>
              </w:rPr>
              <w:t>8</w:t>
            </w:r>
            <w:r>
              <w:rPr>
                <w:rFonts w:ascii="宋体" w:hAnsi="宋体" w:cs="宋体"/>
                <w:kern w:val="0"/>
                <w:sz w:val="20"/>
                <w:szCs w:val="20"/>
              </w:rPr>
              <w:t>80</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1000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2013-2015</w:t>
            </w:r>
          </w:p>
        </w:tc>
      </w:tr>
      <w:tr w:rsidR="00AC2A0C" w:rsidTr="00AC2A0C">
        <w:trPr>
          <w:trHeight w:val="2418"/>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6</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油茶籽精深加工与综合利用项目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浙江中野生物技术有限公司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农产品精深加工与综合利用</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生物产业</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项目总建筑占地面积</w:t>
            </w:r>
            <w:r>
              <w:rPr>
                <w:rFonts w:ascii="宋体" w:hAnsi="宋体" w:cs="宋体"/>
                <w:kern w:val="0"/>
                <w:sz w:val="20"/>
                <w:szCs w:val="20"/>
              </w:rPr>
              <w:t>17506</w:t>
            </w:r>
            <w:r>
              <w:rPr>
                <w:rFonts w:ascii="宋体" w:hAnsi="宋体" w:cs="宋体" w:hint="eastAsia"/>
                <w:kern w:val="0"/>
                <w:sz w:val="20"/>
                <w:szCs w:val="20"/>
              </w:rPr>
              <w:t>平方米，总建筑面积</w:t>
            </w:r>
            <w:r>
              <w:rPr>
                <w:rFonts w:ascii="宋体" w:hAnsi="宋体" w:cs="宋体"/>
                <w:kern w:val="0"/>
                <w:sz w:val="20"/>
                <w:szCs w:val="20"/>
              </w:rPr>
              <w:t>17796</w:t>
            </w:r>
            <w:r>
              <w:rPr>
                <w:rFonts w:ascii="宋体" w:hAnsi="宋体" w:cs="宋体" w:hint="eastAsia"/>
                <w:kern w:val="0"/>
                <w:sz w:val="20"/>
                <w:szCs w:val="20"/>
              </w:rPr>
              <w:t>平方米。本项目前接广大茶农，后连石油、化工、建材、养殖、食品、保健、医药等领域，系列产品既能提供人们质量上乘的保健食用油，满足市场需求，又能降低农药毒性，增进人们身体健康。</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6500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w:t>
            </w:r>
            <w:r>
              <w:rPr>
                <w:rFonts w:ascii="Times New Roman" w:hAnsi="Times New Roman" w:cs="Times New Roman"/>
                <w:kern w:val="0"/>
                <w:sz w:val="20"/>
                <w:szCs w:val="20"/>
              </w:rPr>
              <w:t>0</w:t>
            </w:r>
            <w:r>
              <w:rPr>
                <w:rFonts w:ascii="宋体" w:cs="宋体"/>
                <w:kern w:val="0"/>
                <w:sz w:val="20"/>
                <w:szCs w:val="20"/>
              </w:rPr>
              <w:t>00</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2400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2014-2015</w:t>
            </w:r>
          </w:p>
        </w:tc>
      </w:tr>
      <w:tr w:rsidR="00AC2A0C" w:rsidTr="00AC2A0C">
        <w:trPr>
          <w:trHeight w:val="72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7</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饮料生产</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浙江景宁娃哈哈有限公司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食品制造业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 xml:space="preserve">饮料生产　</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50000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26213</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宋体"/>
                <w:kern w:val="0"/>
                <w:sz w:val="20"/>
                <w:szCs w:val="20"/>
              </w:rPr>
            </w:pPr>
            <w:r>
              <w:rPr>
                <w:rFonts w:ascii="Times New Roman" w:hAnsi="Times New Roman" w:cs="Times New Roman"/>
                <w:kern w:val="0"/>
                <w:sz w:val="20"/>
                <w:szCs w:val="20"/>
              </w:rPr>
              <w:t>5</w:t>
            </w:r>
            <w:r>
              <w:rPr>
                <w:rFonts w:ascii="宋体" w:cs="宋体"/>
                <w:kern w:val="0"/>
                <w:sz w:val="20"/>
                <w:szCs w:val="20"/>
              </w:rPr>
              <w:t>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2012-2017</w:t>
            </w:r>
          </w:p>
        </w:tc>
      </w:tr>
      <w:tr w:rsidR="00AC2A0C" w:rsidTr="00AC2A0C">
        <w:trPr>
          <w:trHeight w:val="96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8</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肉鸡养殖深加工建设项目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浙江久益农业综合发有限公司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农副产品加工业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项目计划投资</w:t>
            </w:r>
            <w:r>
              <w:rPr>
                <w:rFonts w:ascii="宋体" w:hAnsi="宋体" w:cs="宋体"/>
                <w:kern w:val="0"/>
                <w:sz w:val="20"/>
                <w:szCs w:val="20"/>
              </w:rPr>
              <w:t>6400</w:t>
            </w:r>
            <w:r>
              <w:rPr>
                <w:rFonts w:ascii="宋体" w:hAnsi="宋体" w:cs="宋体" w:hint="eastAsia"/>
                <w:kern w:val="0"/>
                <w:sz w:val="20"/>
                <w:szCs w:val="20"/>
              </w:rPr>
              <w:t>万元，购置自动化鸡肉深加工生产线，建成后预计年产值</w:t>
            </w:r>
            <w:r>
              <w:rPr>
                <w:rFonts w:ascii="宋体" w:hAnsi="宋体" w:cs="宋体"/>
                <w:kern w:val="0"/>
                <w:sz w:val="20"/>
                <w:szCs w:val="20"/>
              </w:rPr>
              <w:t>1.2</w:t>
            </w:r>
            <w:r>
              <w:rPr>
                <w:rFonts w:ascii="宋体" w:hAnsi="宋体" w:cs="宋体" w:hint="eastAsia"/>
                <w:kern w:val="0"/>
                <w:sz w:val="20"/>
                <w:szCs w:val="20"/>
              </w:rPr>
              <w:t>亿元。</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6400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4000</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2013.03-20</w:t>
            </w:r>
            <w:r>
              <w:rPr>
                <w:rFonts w:ascii="Times New Roman" w:hAnsi="Times New Roman" w:cs="Times New Roman"/>
                <w:kern w:val="0"/>
                <w:sz w:val="20"/>
                <w:szCs w:val="20"/>
              </w:rPr>
              <w:t>1</w:t>
            </w:r>
            <w:r>
              <w:rPr>
                <w:rFonts w:ascii="宋体" w:hAnsi="宋体" w:cs="宋体"/>
                <w:kern w:val="0"/>
                <w:sz w:val="20"/>
                <w:szCs w:val="20"/>
              </w:rPr>
              <w:t>5.10</w:t>
            </w:r>
          </w:p>
        </w:tc>
      </w:tr>
      <w:tr w:rsidR="00AC2A0C" w:rsidTr="00AC2A0C">
        <w:trPr>
          <w:trHeight w:val="192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9</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年产</w:t>
            </w:r>
            <w:r>
              <w:rPr>
                <w:rFonts w:ascii="宋体" w:hAnsi="宋体" w:cs="宋体"/>
                <w:kern w:val="0"/>
                <w:sz w:val="20"/>
                <w:szCs w:val="20"/>
              </w:rPr>
              <w:t>3000</w:t>
            </w:r>
            <w:r>
              <w:rPr>
                <w:rFonts w:ascii="宋体" w:hAnsi="宋体" w:cs="宋体" w:hint="eastAsia"/>
                <w:kern w:val="0"/>
                <w:sz w:val="20"/>
                <w:szCs w:val="20"/>
              </w:rPr>
              <w:t>万瓶艾滋病新药项目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浙江爱福泉药业有限公司（丽水南城七百秧</w:t>
            </w:r>
            <w:r>
              <w:rPr>
                <w:rFonts w:ascii="宋体" w:hAnsi="宋体" w:cs="宋体"/>
                <w:kern w:val="0"/>
                <w:sz w:val="20"/>
                <w:szCs w:val="20"/>
              </w:rPr>
              <w:t>H-13-1</w:t>
            </w:r>
            <w:r>
              <w:rPr>
                <w:rFonts w:ascii="宋体" w:hAnsi="宋体" w:cs="宋体" w:hint="eastAsia"/>
                <w:kern w:val="0"/>
                <w:sz w:val="20"/>
                <w:szCs w:val="20"/>
              </w:rPr>
              <w:t>地块）</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生物医药</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项目总投资</w:t>
            </w:r>
            <w:r>
              <w:rPr>
                <w:rFonts w:ascii="宋体" w:hAnsi="宋体" w:cs="宋体"/>
                <w:kern w:val="0"/>
                <w:sz w:val="20"/>
                <w:szCs w:val="20"/>
              </w:rPr>
              <w:t>50000</w:t>
            </w:r>
            <w:r>
              <w:rPr>
                <w:rFonts w:ascii="宋体" w:hAnsi="宋体" w:cs="宋体" w:hint="eastAsia"/>
                <w:kern w:val="0"/>
                <w:sz w:val="20"/>
                <w:szCs w:val="20"/>
              </w:rPr>
              <w:t>万元，主要采用中药提取，口服液生产等生产工艺，总用地</w:t>
            </w:r>
            <w:r>
              <w:rPr>
                <w:rFonts w:ascii="宋体" w:hAnsi="宋体" w:cs="宋体"/>
                <w:kern w:val="0"/>
                <w:sz w:val="20"/>
                <w:szCs w:val="20"/>
              </w:rPr>
              <w:t>130</w:t>
            </w:r>
            <w:r>
              <w:rPr>
                <w:rFonts w:ascii="宋体" w:hAnsi="宋体" w:cs="宋体" w:hint="eastAsia"/>
                <w:kern w:val="0"/>
                <w:sz w:val="20"/>
                <w:szCs w:val="20"/>
              </w:rPr>
              <w:t>亩，总建筑面积</w:t>
            </w:r>
            <w:r>
              <w:rPr>
                <w:rFonts w:ascii="宋体" w:hAnsi="宋体" w:cs="宋体"/>
                <w:kern w:val="0"/>
                <w:sz w:val="20"/>
                <w:szCs w:val="20"/>
              </w:rPr>
              <w:t>78717</w:t>
            </w:r>
            <w:r>
              <w:rPr>
                <w:rFonts w:ascii="宋体" w:hAnsi="宋体" w:cs="宋体" w:hint="eastAsia"/>
                <w:kern w:val="0"/>
                <w:sz w:val="20"/>
                <w:szCs w:val="20"/>
              </w:rPr>
              <w:t>平方米。项目建成后形成年产艾滋病新药</w:t>
            </w:r>
            <w:r>
              <w:rPr>
                <w:rFonts w:ascii="宋体" w:hAnsi="宋体" w:cs="宋体"/>
                <w:kern w:val="0"/>
                <w:sz w:val="20"/>
                <w:szCs w:val="20"/>
              </w:rPr>
              <w:t>6000</w:t>
            </w:r>
            <w:r>
              <w:rPr>
                <w:rFonts w:ascii="宋体" w:hAnsi="宋体" w:cs="宋体" w:hint="eastAsia"/>
                <w:kern w:val="0"/>
                <w:sz w:val="20"/>
                <w:szCs w:val="20"/>
              </w:rPr>
              <w:t>万瓶项目生产能力，产品主要用于艾滋病人治疗用药等方面，具有自主知识产权的中国第一个抗艾滋病新药。</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50000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Times New Roman" w:hAnsi="Times New Roman" w:cs="宋体" w:hint="eastAsia"/>
                <w:kern w:val="0"/>
                <w:sz w:val="20"/>
                <w:szCs w:val="20"/>
              </w:rPr>
              <w:t xml:space="preserve">　</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2000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2014-12</w:t>
            </w:r>
            <w:r>
              <w:rPr>
                <w:rFonts w:ascii="宋体" w:hAnsi="宋体" w:cs="宋体" w:hint="eastAsia"/>
                <w:kern w:val="0"/>
                <w:sz w:val="20"/>
                <w:szCs w:val="20"/>
              </w:rPr>
              <w:t>到</w:t>
            </w:r>
            <w:r>
              <w:rPr>
                <w:rFonts w:ascii="宋体" w:hAnsi="宋体" w:cs="宋体"/>
                <w:kern w:val="0"/>
                <w:sz w:val="20"/>
                <w:szCs w:val="20"/>
              </w:rPr>
              <w:t>2016-7</w:t>
            </w:r>
          </w:p>
        </w:tc>
      </w:tr>
      <w:tr w:rsidR="00AC2A0C" w:rsidTr="00AC2A0C">
        <w:trPr>
          <w:trHeight w:val="120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lastRenderedPageBreak/>
              <w:t>10</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年产</w:t>
            </w:r>
            <w:r>
              <w:rPr>
                <w:rFonts w:ascii="宋体" w:hAnsi="宋体" w:cs="宋体"/>
                <w:kern w:val="0"/>
                <w:sz w:val="20"/>
                <w:szCs w:val="20"/>
              </w:rPr>
              <w:t>15000</w:t>
            </w:r>
            <w:r>
              <w:rPr>
                <w:rFonts w:ascii="宋体" w:hAnsi="宋体" w:cs="宋体" w:hint="eastAsia"/>
                <w:kern w:val="0"/>
                <w:sz w:val="20"/>
                <w:szCs w:val="20"/>
              </w:rPr>
              <w:t>吨保鲜蔬菜水果</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丽水市碧天食品有限公司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食品加工</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丽水市碧天食品有限公司是一家以提供保鲜蔬菜水果、速冻食品、冷冻饮品的企业，项目总用地</w:t>
            </w:r>
            <w:r>
              <w:rPr>
                <w:rFonts w:ascii="宋体" w:hAnsi="宋体" w:cs="宋体"/>
                <w:kern w:val="0"/>
                <w:sz w:val="20"/>
                <w:szCs w:val="20"/>
              </w:rPr>
              <w:t>30</w:t>
            </w:r>
            <w:r>
              <w:rPr>
                <w:rFonts w:ascii="宋体" w:hAnsi="宋体" w:cs="宋体" w:hint="eastAsia"/>
                <w:kern w:val="0"/>
                <w:sz w:val="20"/>
                <w:szCs w:val="20"/>
              </w:rPr>
              <w:t>亩，总建筑面积</w:t>
            </w:r>
            <w:r>
              <w:rPr>
                <w:rFonts w:ascii="宋体" w:hAnsi="宋体" w:cs="宋体"/>
                <w:kern w:val="0"/>
                <w:sz w:val="20"/>
                <w:szCs w:val="20"/>
              </w:rPr>
              <w:t>20020</w:t>
            </w:r>
            <w:r>
              <w:rPr>
                <w:rFonts w:ascii="宋体" w:hAnsi="宋体" w:cs="宋体" w:hint="eastAsia"/>
                <w:kern w:val="0"/>
                <w:sz w:val="20"/>
                <w:szCs w:val="20"/>
              </w:rPr>
              <w:t>平方米，计划购置速冻冷库制冷</w:t>
            </w:r>
            <w:r>
              <w:rPr>
                <w:rFonts w:ascii="宋体" w:hAnsi="宋体" w:cs="宋体" w:hint="eastAsia"/>
                <w:b/>
                <w:bCs/>
                <w:kern w:val="0"/>
                <w:sz w:val="20"/>
                <w:szCs w:val="20"/>
              </w:rPr>
              <w:t>设备</w:t>
            </w:r>
            <w:r>
              <w:rPr>
                <w:rFonts w:ascii="宋体" w:hAnsi="宋体" w:cs="宋体" w:hint="eastAsia"/>
                <w:kern w:val="0"/>
                <w:sz w:val="20"/>
                <w:szCs w:val="20"/>
              </w:rPr>
              <w:t>，速冻面米生产线，果蔬</w:t>
            </w:r>
            <w:r>
              <w:rPr>
                <w:rFonts w:ascii="Times New Roman" w:hAnsi="Times New Roman" w:cs="宋体" w:hint="eastAsia"/>
                <w:kern w:val="0"/>
                <w:sz w:val="20"/>
                <w:szCs w:val="20"/>
              </w:rPr>
              <w:t>保</w:t>
            </w:r>
            <w:r>
              <w:rPr>
                <w:rFonts w:ascii="宋体" w:hAnsi="宋体" w:cs="宋体" w:hint="eastAsia"/>
                <w:kern w:val="0"/>
                <w:sz w:val="20"/>
                <w:szCs w:val="20"/>
              </w:rPr>
              <w:t>鲜生产设施。</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6469</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1000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r>
      <w:tr w:rsidR="00AC2A0C" w:rsidTr="00AC2A0C">
        <w:trPr>
          <w:trHeight w:val="144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11</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年产</w:t>
            </w:r>
            <w:r>
              <w:rPr>
                <w:rFonts w:ascii="宋体" w:hAnsi="宋体" w:cs="宋体"/>
                <w:kern w:val="0"/>
                <w:sz w:val="20"/>
                <w:szCs w:val="20"/>
              </w:rPr>
              <w:t>5000</w:t>
            </w:r>
            <w:r>
              <w:rPr>
                <w:rFonts w:ascii="宋体" w:hAnsi="宋体" w:cs="宋体" w:hint="eastAsia"/>
                <w:kern w:val="0"/>
                <w:sz w:val="20"/>
                <w:szCs w:val="20"/>
              </w:rPr>
              <w:t>吨山区农副产品深加工生产线异地技改</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景宁畲族自治县中信实业有限公司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农副食品制造业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生物</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项目主要采用国内成熟和自主研发技术或工艺，项目建成后形成年产</w:t>
            </w:r>
            <w:r>
              <w:rPr>
                <w:rFonts w:ascii="宋体" w:hAnsi="宋体" w:cs="宋体"/>
                <w:kern w:val="0"/>
                <w:sz w:val="20"/>
                <w:szCs w:val="20"/>
              </w:rPr>
              <w:t>5000</w:t>
            </w:r>
            <w:r>
              <w:rPr>
                <w:rFonts w:ascii="宋体" w:hAnsi="宋体" w:cs="宋体" w:hint="eastAsia"/>
                <w:kern w:val="0"/>
                <w:sz w:val="20"/>
                <w:szCs w:val="20"/>
              </w:rPr>
              <w:t>吨山区农副产品精深加工的生产能力，产品具有绿色环保、资源综合利用特点。</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21300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2013</w:t>
            </w:r>
            <w:r>
              <w:rPr>
                <w:rFonts w:ascii="Times New Roman" w:hAnsi="Times New Roman" w:cs="Times New Roman"/>
                <w:kern w:val="0"/>
                <w:sz w:val="20"/>
                <w:szCs w:val="20"/>
              </w:rPr>
              <w:t>-</w:t>
            </w:r>
            <w:r>
              <w:rPr>
                <w:rFonts w:ascii="宋体" w:hAnsi="宋体" w:cs="宋体"/>
                <w:kern w:val="0"/>
                <w:sz w:val="20"/>
                <w:szCs w:val="20"/>
              </w:rPr>
              <w:t>2017</w:t>
            </w:r>
          </w:p>
        </w:tc>
      </w:tr>
      <w:tr w:rsidR="00AC2A0C" w:rsidTr="00AC2A0C">
        <w:trPr>
          <w:trHeight w:val="120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12</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茶叶精深加工及野生茶油项目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丽水畲品农业科技有限公司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农副食品加工业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生物</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项目主要采用国内成熟和自主研发技术或工艺。项目建成后形成年产</w:t>
            </w:r>
            <w:r>
              <w:rPr>
                <w:rFonts w:ascii="宋体" w:hAnsi="宋体" w:cs="宋体"/>
                <w:kern w:val="0"/>
                <w:sz w:val="20"/>
                <w:szCs w:val="20"/>
              </w:rPr>
              <w:t>600</w:t>
            </w:r>
            <w:r>
              <w:rPr>
                <w:rFonts w:ascii="宋体" w:hAnsi="宋体" w:cs="宋体" w:hint="eastAsia"/>
                <w:kern w:val="0"/>
                <w:sz w:val="20"/>
                <w:szCs w:val="20"/>
              </w:rPr>
              <w:t>吨茶叶、</w:t>
            </w:r>
            <w:r>
              <w:rPr>
                <w:rFonts w:ascii="宋体" w:hAnsi="宋体" w:cs="宋体"/>
                <w:kern w:val="0"/>
                <w:sz w:val="20"/>
                <w:szCs w:val="20"/>
              </w:rPr>
              <w:t>1000</w:t>
            </w:r>
            <w:r>
              <w:rPr>
                <w:rFonts w:ascii="宋体" w:hAnsi="宋体" w:cs="宋体" w:hint="eastAsia"/>
                <w:kern w:val="0"/>
                <w:sz w:val="20"/>
                <w:szCs w:val="20"/>
              </w:rPr>
              <w:t>吨茶油的生产能力，产品具有绿色、无公害特点</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8296</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1000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2014</w:t>
            </w:r>
            <w:r>
              <w:rPr>
                <w:rFonts w:ascii="Times New Roman" w:hAnsi="Times New Roman" w:cs="Times New Roman"/>
                <w:kern w:val="0"/>
                <w:sz w:val="20"/>
                <w:szCs w:val="20"/>
              </w:rPr>
              <w:t>-</w:t>
            </w:r>
            <w:r>
              <w:rPr>
                <w:rFonts w:ascii="宋体" w:hAnsi="宋体" w:cs="宋体"/>
                <w:kern w:val="0"/>
                <w:sz w:val="20"/>
                <w:szCs w:val="20"/>
              </w:rPr>
              <w:t>2017</w:t>
            </w:r>
          </w:p>
        </w:tc>
      </w:tr>
      <w:tr w:rsidR="00AC2A0C" w:rsidTr="00AC2A0C">
        <w:trPr>
          <w:trHeight w:val="96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13</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浙江龙泉茶文化产业园建设项目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龙泉红国礼茶叶有限公司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农副产品加工业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项目计划投资</w:t>
            </w:r>
            <w:r>
              <w:rPr>
                <w:rFonts w:ascii="宋体" w:hAnsi="宋体" w:cs="宋体"/>
                <w:kern w:val="0"/>
                <w:sz w:val="20"/>
                <w:szCs w:val="20"/>
              </w:rPr>
              <w:t>13000</w:t>
            </w:r>
            <w:r>
              <w:rPr>
                <w:rFonts w:ascii="宋体" w:hAnsi="宋体" w:cs="宋体" w:hint="eastAsia"/>
                <w:kern w:val="0"/>
                <w:sz w:val="20"/>
                <w:szCs w:val="20"/>
              </w:rPr>
              <w:t>万元，建设红茶加工、文化展示等为一体的综合产业园，项目建成后预计实现年产值</w:t>
            </w:r>
            <w:r>
              <w:rPr>
                <w:rFonts w:ascii="宋体" w:hAnsi="宋体" w:cs="宋体"/>
                <w:kern w:val="0"/>
                <w:sz w:val="20"/>
                <w:szCs w:val="20"/>
              </w:rPr>
              <w:t>1.6</w:t>
            </w:r>
            <w:r>
              <w:rPr>
                <w:rFonts w:ascii="宋体" w:hAnsi="宋体" w:cs="宋体" w:hint="eastAsia"/>
                <w:kern w:val="0"/>
                <w:sz w:val="20"/>
                <w:szCs w:val="20"/>
              </w:rPr>
              <w:t>亿元。</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13000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kern w:val="0"/>
                <w:sz w:val="20"/>
                <w:szCs w:val="20"/>
              </w:rPr>
              <w:t>6500</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3000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2014.1-2</w:t>
            </w:r>
            <w:r>
              <w:rPr>
                <w:rFonts w:ascii="Times New Roman" w:hAnsi="Times New Roman" w:cs="Times New Roman"/>
                <w:kern w:val="0"/>
                <w:sz w:val="20"/>
                <w:szCs w:val="20"/>
              </w:rPr>
              <w:t>0</w:t>
            </w:r>
            <w:r>
              <w:rPr>
                <w:rFonts w:ascii="宋体" w:hAnsi="宋体" w:cs="宋体"/>
                <w:kern w:val="0"/>
                <w:sz w:val="20"/>
                <w:szCs w:val="20"/>
              </w:rPr>
              <w:t>17.1</w:t>
            </w:r>
          </w:p>
        </w:tc>
      </w:tr>
      <w:tr w:rsidR="00AC2A0C" w:rsidTr="00AC2A0C">
        <w:trPr>
          <w:trHeight w:val="168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t>14</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森宇</w:t>
            </w:r>
            <w:r>
              <w:rPr>
                <w:rFonts w:ascii="宋体" w:hAnsi="宋体" w:cs="宋体"/>
                <w:kern w:val="0"/>
                <w:sz w:val="20"/>
                <w:szCs w:val="20"/>
              </w:rPr>
              <w:t>GMP</w:t>
            </w:r>
            <w:r>
              <w:rPr>
                <w:rFonts w:ascii="宋体" w:hAnsi="宋体" w:cs="宋体" w:hint="eastAsia"/>
                <w:kern w:val="0"/>
                <w:sz w:val="20"/>
                <w:szCs w:val="20"/>
              </w:rPr>
              <w:t>饮业生产基地建设项目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center"/>
              <w:rPr>
                <w:rFonts w:ascii="宋体" w:cs="Times New Roman"/>
                <w:kern w:val="0"/>
                <w:sz w:val="20"/>
                <w:szCs w:val="20"/>
              </w:rPr>
            </w:pPr>
            <w:r>
              <w:rPr>
                <w:rFonts w:ascii="宋体" w:hAnsi="宋体" w:cs="宋体" w:hint="eastAsia"/>
                <w:kern w:val="0"/>
                <w:sz w:val="20"/>
                <w:szCs w:val="20"/>
              </w:rPr>
              <w:t>浙江森宇生物科技有限公司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酒、饮料和精制茶制造业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森宇控股集团有限公司是一家以铁皮石斛为主的珍稀名贵药材的组培、栽培、研发以及药品、饮品、保健品、生物制品、食品的研发、生产和销售为核心竞争力的科技型企业。项目新增建筑面积</w:t>
            </w:r>
            <w:r>
              <w:rPr>
                <w:rFonts w:ascii="宋体" w:hAnsi="宋体" w:cs="宋体"/>
                <w:kern w:val="0"/>
                <w:sz w:val="20"/>
                <w:szCs w:val="20"/>
              </w:rPr>
              <w:t>30500</w:t>
            </w:r>
            <w:r>
              <w:rPr>
                <w:rFonts w:ascii="宋体" w:hAnsi="宋体" w:cs="宋体" w:hint="eastAsia"/>
                <w:kern w:val="0"/>
                <w:sz w:val="20"/>
                <w:szCs w:val="20"/>
              </w:rPr>
              <w:t>平方米。</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30926</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kern w:val="0"/>
                <w:sz w:val="20"/>
                <w:szCs w:val="20"/>
              </w:rPr>
              <w:t>6000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r>
      <w:tr w:rsidR="00AC2A0C" w:rsidTr="00AC2A0C">
        <w:trPr>
          <w:trHeight w:val="2880"/>
          <w:jc w:val="center"/>
        </w:trPr>
        <w:tc>
          <w:tcPr>
            <w:tcW w:w="64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C2A0C" w:rsidRDefault="00AC2A0C" w:rsidP="00AC2A0C">
            <w:pPr>
              <w:widowControl/>
              <w:jc w:val="center"/>
              <w:rPr>
                <w:rFonts w:ascii="宋体" w:cs="Times New Roman"/>
                <w:kern w:val="0"/>
                <w:sz w:val="20"/>
                <w:szCs w:val="20"/>
              </w:rPr>
            </w:pPr>
            <w:r>
              <w:rPr>
                <w:rFonts w:ascii="宋体" w:hAnsi="宋体" w:cs="宋体"/>
                <w:kern w:val="0"/>
                <w:sz w:val="20"/>
                <w:szCs w:val="20"/>
              </w:rPr>
              <w:lastRenderedPageBreak/>
              <w:t>15</w:t>
            </w:r>
          </w:p>
        </w:tc>
        <w:tc>
          <w:tcPr>
            <w:tcW w:w="9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年产</w:t>
            </w:r>
            <w:r>
              <w:rPr>
                <w:rFonts w:ascii="宋体" w:hAnsi="宋体" w:cs="宋体"/>
                <w:kern w:val="0"/>
                <w:sz w:val="20"/>
                <w:szCs w:val="20"/>
              </w:rPr>
              <w:t>5</w:t>
            </w:r>
            <w:r>
              <w:rPr>
                <w:rFonts w:ascii="宋体" w:hAnsi="宋体" w:cs="宋体" w:hint="eastAsia"/>
                <w:kern w:val="0"/>
                <w:sz w:val="20"/>
                <w:szCs w:val="20"/>
              </w:rPr>
              <w:t>亿瓶</w:t>
            </w:r>
            <w:r>
              <w:rPr>
                <w:rFonts w:ascii="宋体" w:hAnsi="宋体" w:cs="宋体"/>
                <w:kern w:val="0"/>
                <w:sz w:val="20"/>
                <w:szCs w:val="20"/>
              </w:rPr>
              <w:t>/</w:t>
            </w:r>
            <w:r>
              <w:rPr>
                <w:rFonts w:ascii="宋体" w:hAnsi="宋体" w:cs="宋体" w:hint="eastAsia"/>
                <w:kern w:val="0"/>
                <w:sz w:val="20"/>
                <w:szCs w:val="20"/>
              </w:rPr>
              <w:t>袋大容量注射剂、</w:t>
            </w:r>
            <w:r>
              <w:rPr>
                <w:rFonts w:ascii="宋体" w:hAnsi="宋体" w:cs="宋体"/>
                <w:kern w:val="0"/>
                <w:sz w:val="20"/>
                <w:szCs w:val="20"/>
              </w:rPr>
              <w:t>2.5</w:t>
            </w:r>
            <w:r>
              <w:rPr>
                <w:rFonts w:ascii="宋体" w:hAnsi="宋体" w:cs="宋体" w:hint="eastAsia"/>
                <w:kern w:val="0"/>
                <w:sz w:val="20"/>
                <w:szCs w:val="20"/>
              </w:rPr>
              <w:t>亿支</w:t>
            </w:r>
            <w:r>
              <w:rPr>
                <w:rFonts w:ascii="宋体" w:hAnsi="宋体" w:cs="宋体"/>
                <w:kern w:val="0"/>
                <w:sz w:val="20"/>
                <w:szCs w:val="20"/>
              </w:rPr>
              <w:t>/</w:t>
            </w:r>
            <w:r>
              <w:rPr>
                <w:rFonts w:ascii="宋体" w:hAnsi="宋体" w:cs="宋体" w:hint="eastAsia"/>
                <w:kern w:val="0"/>
                <w:sz w:val="20"/>
                <w:szCs w:val="20"/>
              </w:rPr>
              <w:t>瓶口服液（糖浆）、</w:t>
            </w:r>
            <w:r>
              <w:rPr>
                <w:rFonts w:ascii="宋体" w:hAnsi="宋体" w:cs="宋体"/>
                <w:kern w:val="0"/>
                <w:sz w:val="20"/>
                <w:szCs w:val="20"/>
              </w:rPr>
              <w:t>6</w:t>
            </w:r>
            <w:r>
              <w:rPr>
                <w:rFonts w:ascii="宋体" w:hAnsi="宋体" w:cs="宋体" w:hint="eastAsia"/>
                <w:kern w:val="0"/>
                <w:sz w:val="20"/>
                <w:szCs w:val="20"/>
              </w:rPr>
              <w:t>亿片（粒）药用头孢片（胶囊）剂生产线建设项目</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浙江国镜药业有限公司</w:t>
            </w:r>
          </w:p>
        </w:tc>
        <w:tc>
          <w:tcPr>
            <w:tcW w:w="69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药品制造业</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721"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rPr>
                <w:rFonts w:ascii="宋体" w:cs="Times New Roman"/>
                <w:sz w:val="20"/>
                <w:szCs w:val="20"/>
              </w:rPr>
            </w:pPr>
            <w:r>
              <w:rPr>
                <w:rFonts w:ascii="宋体" w:hAnsi="宋体" w:cs="宋体" w:hint="eastAsia"/>
                <w:kern w:val="0"/>
                <w:sz w:val="20"/>
                <w:szCs w:val="20"/>
              </w:rPr>
              <w:t>年产</w:t>
            </w:r>
            <w:r>
              <w:rPr>
                <w:rFonts w:ascii="宋体" w:hAnsi="宋体" w:cs="宋体"/>
                <w:kern w:val="0"/>
                <w:sz w:val="20"/>
                <w:szCs w:val="20"/>
              </w:rPr>
              <w:t>5</w:t>
            </w:r>
            <w:r>
              <w:rPr>
                <w:rFonts w:ascii="宋体" w:hAnsi="宋体" w:cs="宋体" w:hint="eastAsia"/>
                <w:kern w:val="0"/>
                <w:sz w:val="20"/>
                <w:szCs w:val="20"/>
              </w:rPr>
              <w:t>亿瓶</w:t>
            </w:r>
            <w:r>
              <w:rPr>
                <w:rFonts w:ascii="宋体" w:hAnsi="宋体" w:cs="宋体"/>
                <w:kern w:val="0"/>
                <w:sz w:val="20"/>
                <w:szCs w:val="20"/>
              </w:rPr>
              <w:t>/</w:t>
            </w:r>
            <w:r>
              <w:rPr>
                <w:rFonts w:ascii="宋体" w:hAnsi="宋体" w:cs="宋体" w:hint="eastAsia"/>
                <w:kern w:val="0"/>
                <w:sz w:val="20"/>
                <w:szCs w:val="20"/>
              </w:rPr>
              <w:t>袋大容量注射剂、</w:t>
            </w:r>
            <w:r>
              <w:rPr>
                <w:rFonts w:ascii="宋体" w:hAnsi="宋体" w:cs="宋体"/>
                <w:kern w:val="0"/>
                <w:sz w:val="20"/>
                <w:szCs w:val="20"/>
              </w:rPr>
              <w:t>2.5</w:t>
            </w:r>
            <w:r>
              <w:rPr>
                <w:rFonts w:ascii="宋体" w:hAnsi="宋体" w:cs="宋体" w:hint="eastAsia"/>
                <w:kern w:val="0"/>
                <w:sz w:val="20"/>
                <w:szCs w:val="20"/>
              </w:rPr>
              <w:t>亿支</w:t>
            </w:r>
            <w:r>
              <w:rPr>
                <w:rFonts w:ascii="宋体" w:hAnsi="宋体" w:cs="宋体"/>
                <w:kern w:val="0"/>
                <w:sz w:val="20"/>
                <w:szCs w:val="20"/>
              </w:rPr>
              <w:t>/</w:t>
            </w:r>
            <w:r>
              <w:rPr>
                <w:rFonts w:ascii="宋体" w:hAnsi="宋体" w:cs="宋体" w:hint="eastAsia"/>
                <w:kern w:val="0"/>
                <w:sz w:val="20"/>
                <w:szCs w:val="20"/>
              </w:rPr>
              <w:t>瓶口服液（糖浆）、</w:t>
            </w:r>
            <w:r>
              <w:rPr>
                <w:rFonts w:ascii="宋体" w:hAnsi="宋体" w:cs="宋体"/>
                <w:kern w:val="0"/>
                <w:sz w:val="20"/>
                <w:szCs w:val="20"/>
              </w:rPr>
              <w:t>6</w:t>
            </w:r>
            <w:r>
              <w:rPr>
                <w:rFonts w:ascii="宋体" w:hAnsi="宋体" w:cs="宋体" w:hint="eastAsia"/>
                <w:kern w:val="0"/>
                <w:sz w:val="20"/>
                <w:szCs w:val="20"/>
              </w:rPr>
              <w:t>亿片（粒）药用头孢片（胶囊）剂生产线建设</w:t>
            </w:r>
            <w:r>
              <w:rPr>
                <w:rFonts w:ascii="Times New Roman" w:hAnsi="Times New Roman" w:cs="宋体" w:hint="eastAsia"/>
                <w:kern w:val="0"/>
                <w:sz w:val="20"/>
                <w:szCs w:val="20"/>
              </w:rPr>
              <w:t>项</w:t>
            </w:r>
            <w:r>
              <w:rPr>
                <w:rFonts w:cs="宋体" w:hint="eastAsia"/>
                <w:sz w:val="20"/>
                <w:szCs w:val="20"/>
              </w:rPr>
              <w:t>目</w:t>
            </w:r>
          </w:p>
        </w:tc>
        <w:tc>
          <w:tcPr>
            <w:tcW w:w="84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jc w:val="center"/>
              <w:rPr>
                <w:rFonts w:ascii="宋体" w:cs="Times New Roman"/>
                <w:sz w:val="20"/>
                <w:szCs w:val="20"/>
              </w:rPr>
            </w:pPr>
            <w:r>
              <w:rPr>
                <w:sz w:val="20"/>
                <w:szCs w:val="20"/>
              </w:rPr>
              <w:t>38000</w:t>
            </w:r>
          </w:p>
        </w:tc>
        <w:tc>
          <w:tcPr>
            <w:tcW w:w="737"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jc w:val="center"/>
              <w:rPr>
                <w:rFonts w:ascii="宋体" w:cs="Times New Roman"/>
                <w:sz w:val="20"/>
                <w:szCs w:val="20"/>
              </w:rPr>
            </w:pPr>
            <w:r>
              <w:rPr>
                <w:sz w:val="20"/>
                <w:szCs w:val="20"/>
              </w:rPr>
              <w:t>0</w:t>
            </w:r>
          </w:p>
        </w:tc>
        <w:tc>
          <w:tcPr>
            <w:tcW w:w="683"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jc w:val="center"/>
              <w:rPr>
                <w:rFonts w:ascii="宋体" w:cs="Times New Roman"/>
                <w:sz w:val="20"/>
                <w:szCs w:val="20"/>
              </w:rPr>
            </w:pPr>
            <w:r>
              <w:rPr>
                <w:sz w:val="20"/>
                <w:szCs w:val="20"/>
              </w:rPr>
              <w:t>10000</w:t>
            </w:r>
          </w:p>
        </w:tc>
        <w:tc>
          <w:tcPr>
            <w:tcW w:w="1356" w:type="dxa"/>
            <w:tcBorders>
              <w:top w:val="nil"/>
              <w:left w:val="nil"/>
              <w:bottom w:val="single" w:sz="4" w:space="0" w:color="auto"/>
              <w:right w:val="single" w:sz="4" w:space="0" w:color="auto"/>
            </w:tcBorders>
            <w:tcMar>
              <w:top w:w="15" w:type="dxa"/>
              <w:left w:w="15" w:type="dxa"/>
              <w:bottom w:w="0" w:type="dxa"/>
              <w:right w:w="15" w:type="dxa"/>
            </w:tcMar>
            <w:vAlign w:val="center"/>
          </w:tcPr>
          <w:p w:rsidR="00AC2A0C" w:rsidRDefault="00AC2A0C">
            <w:pPr>
              <w:jc w:val="center"/>
              <w:rPr>
                <w:rFonts w:ascii="宋体" w:cs="Times New Roman"/>
                <w:sz w:val="20"/>
                <w:szCs w:val="20"/>
              </w:rPr>
            </w:pPr>
            <w:r>
              <w:rPr>
                <w:rFonts w:cs="宋体" w:hint="eastAsia"/>
                <w:sz w:val="20"/>
                <w:szCs w:val="20"/>
              </w:rPr>
              <w:t xml:space="preserve">　</w:t>
            </w:r>
          </w:p>
        </w:tc>
        <w:bookmarkStart w:id="97" w:name="_GoBack"/>
        <w:bookmarkEnd w:id="97"/>
      </w:tr>
    </w:tbl>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rsidP="0013485A">
      <w:pPr>
        <w:ind w:firstLineChars="200" w:firstLine="420"/>
        <w:rPr>
          <w:rFonts w:cs="Times New Roman"/>
        </w:rPr>
      </w:pPr>
    </w:p>
    <w:p w:rsidR="00195273" w:rsidRDefault="00195273">
      <w:pPr>
        <w:widowControl/>
        <w:rPr>
          <w:rFonts w:ascii="方正大标宋简体" w:eastAsia="方正大标宋简体" w:hAnsi="宋体" w:cs="Times New Roman"/>
          <w:kern w:val="0"/>
          <w:sz w:val="24"/>
          <w:szCs w:val="24"/>
        </w:rPr>
      </w:pPr>
    </w:p>
    <w:p w:rsidR="00195273" w:rsidRDefault="004F4DE5">
      <w:pPr>
        <w:widowControl/>
        <w:rPr>
          <w:rFonts w:ascii="仿宋_GB2312" w:eastAsia="仿宋_GB2312" w:hAnsi="宋体" w:cs="Times New Roman"/>
          <w:kern w:val="0"/>
          <w:sz w:val="24"/>
          <w:szCs w:val="24"/>
        </w:rPr>
      </w:pPr>
      <w:r>
        <w:rPr>
          <w:rFonts w:ascii="方正大标宋简体" w:eastAsia="方正大标宋简体" w:hAnsi="宋体" w:cs="方正大标宋简体" w:hint="eastAsia"/>
          <w:kern w:val="0"/>
          <w:sz w:val="24"/>
          <w:szCs w:val="24"/>
        </w:rPr>
        <w:lastRenderedPageBreak/>
        <w:t>附表</w:t>
      </w:r>
      <w:r>
        <w:rPr>
          <w:rFonts w:ascii="方正大标宋简体" w:eastAsia="方正大标宋简体" w:hAnsi="宋体" w:cs="方正大标宋简体"/>
          <w:kern w:val="0"/>
          <w:sz w:val="24"/>
          <w:szCs w:val="24"/>
        </w:rPr>
        <w:t>2</w:t>
      </w:r>
    </w:p>
    <w:tbl>
      <w:tblPr>
        <w:tblW w:w="11565" w:type="dxa"/>
        <w:jc w:val="center"/>
        <w:tblLayout w:type="fixed"/>
        <w:tblLook w:val="04A0" w:firstRow="1" w:lastRow="0" w:firstColumn="1" w:lastColumn="0" w:noHBand="0" w:noVBand="1"/>
      </w:tblPr>
      <w:tblGrid>
        <w:gridCol w:w="592"/>
        <w:gridCol w:w="1255"/>
        <w:gridCol w:w="1290"/>
        <w:gridCol w:w="2356"/>
        <w:gridCol w:w="1000"/>
        <w:gridCol w:w="945"/>
        <w:gridCol w:w="1706"/>
        <w:gridCol w:w="945"/>
        <w:gridCol w:w="1476"/>
      </w:tblGrid>
      <w:tr w:rsidR="00AC2A0C" w:rsidTr="00AC2A0C">
        <w:trPr>
          <w:trHeight w:val="1080"/>
          <w:jc w:val="center"/>
        </w:trPr>
        <w:tc>
          <w:tcPr>
            <w:tcW w:w="592" w:type="dxa"/>
            <w:tcBorders>
              <w:top w:val="single" w:sz="4" w:space="0" w:color="auto"/>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b/>
                <w:bCs/>
                <w:kern w:val="0"/>
                <w:sz w:val="22"/>
                <w:szCs w:val="22"/>
              </w:rPr>
            </w:pPr>
            <w:r>
              <w:rPr>
                <w:rFonts w:ascii="仿宋_GB2312" w:eastAsia="仿宋_GB2312" w:hAnsi="宋体" w:cs="仿宋_GB2312" w:hint="eastAsia"/>
                <w:b/>
                <w:bCs/>
                <w:kern w:val="0"/>
                <w:sz w:val="22"/>
                <w:szCs w:val="22"/>
              </w:rPr>
              <w:t>序号</w:t>
            </w:r>
          </w:p>
        </w:tc>
        <w:tc>
          <w:tcPr>
            <w:tcW w:w="1255"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b/>
                <w:bCs/>
                <w:kern w:val="0"/>
                <w:sz w:val="22"/>
                <w:szCs w:val="22"/>
              </w:rPr>
            </w:pPr>
            <w:r>
              <w:rPr>
                <w:rFonts w:ascii="仿宋_GB2312" w:eastAsia="仿宋_GB2312" w:hAnsi="宋体" w:cs="仿宋_GB2312" w:hint="eastAsia"/>
                <w:b/>
                <w:bCs/>
                <w:kern w:val="0"/>
                <w:sz w:val="22"/>
                <w:szCs w:val="22"/>
              </w:rPr>
              <w:t>项目名称</w:t>
            </w:r>
          </w:p>
        </w:tc>
        <w:tc>
          <w:tcPr>
            <w:tcW w:w="1290"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b/>
                <w:bCs/>
                <w:kern w:val="0"/>
                <w:sz w:val="22"/>
                <w:szCs w:val="22"/>
              </w:rPr>
            </w:pPr>
            <w:r>
              <w:rPr>
                <w:rFonts w:ascii="仿宋_GB2312" w:eastAsia="仿宋_GB2312" w:hAnsi="宋体" w:cs="仿宋_GB2312" w:hint="eastAsia"/>
                <w:b/>
                <w:bCs/>
                <w:kern w:val="0"/>
                <w:sz w:val="22"/>
                <w:szCs w:val="22"/>
              </w:rPr>
              <w:t>所在地</w:t>
            </w:r>
          </w:p>
        </w:tc>
        <w:tc>
          <w:tcPr>
            <w:tcW w:w="2356"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b/>
                <w:bCs/>
                <w:kern w:val="0"/>
                <w:sz w:val="22"/>
                <w:szCs w:val="22"/>
              </w:rPr>
            </w:pPr>
            <w:r>
              <w:rPr>
                <w:rFonts w:ascii="仿宋_GB2312" w:eastAsia="仿宋_GB2312" w:hAnsi="宋体" w:cs="仿宋_GB2312" w:hint="eastAsia"/>
                <w:b/>
                <w:bCs/>
                <w:kern w:val="0"/>
                <w:sz w:val="22"/>
                <w:szCs w:val="22"/>
              </w:rPr>
              <w:t>拟建项目规模和内容</w:t>
            </w:r>
          </w:p>
        </w:tc>
        <w:tc>
          <w:tcPr>
            <w:tcW w:w="1000"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b/>
                <w:bCs/>
                <w:kern w:val="0"/>
                <w:sz w:val="22"/>
                <w:szCs w:val="22"/>
              </w:rPr>
            </w:pPr>
            <w:r>
              <w:rPr>
                <w:rFonts w:ascii="仿宋_GB2312" w:eastAsia="仿宋_GB2312" w:hAnsi="宋体" w:cs="仿宋_GB2312" w:hint="eastAsia"/>
                <w:b/>
                <w:bCs/>
                <w:kern w:val="0"/>
                <w:sz w:val="22"/>
                <w:szCs w:val="22"/>
              </w:rPr>
              <w:t>估算总投资</w:t>
            </w:r>
          </w:p>
        </w:tc>
        <w:tc>
          <w:tcPr>
            <w:tcW w:w="945"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b/>
                <w:bCs/>
                <w:kern w:val="0"/>
                <w:sz w:val="22"/>
                <w:szCs w:val="22"/>
              </w:rPr>
            </w:pPr>
            <w:r>
              <w:rPr>
                <w:rFonts w:ascii="仿宋_GB2312" w:eastAsia="仿宋_GB2312" w:hAnsi="宋体" w:cs="仿宋_GB2312" w:hint="eastAsia"/>
                <w:b/>
                <w:bCs/>
                <w:kern w:val="0"/>
                <w:sz w:val="22"/>
                <w:szCs w:val="22"/>
              </w:rPr>
              <w:t>合作方式</w:t>
            </w:r>
          </w:p>
        </w:tc>
        <w:tc>
          <w:tcPr>
            <w:tcW w:w="1706"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b/>
                <w:bCs/>
                <w:kern w:val="0"/>
                <w:sz w:val="22"/>
                <w:szCs w:val="22"/>
              </w:rPr>
            </w:pPr>
            <w:r>
              <w:rPr>
                <w:rFonts w:ascii="仿宋_GB2312" w:eastAsia="仿宋_GB2312" w:hAnsi="宋体" w:cs="仿宋_GB2312" w:hint="eastAsia"/>
                <w:b/>
                <w:bCs/>
                <w:kern w:val="0"/>
                <w:sz w:val="22"/>
                <w:szCs w:val="22"/>
              </w:rPr>
              <w:t>项目前期工作进展情况</w:t>
            </w:r>
          </w:p>
        </w:tc>
        <w:tc>
          <w:tcPr>
            <w:tcW w:w="945"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b/>
                <w:bCs/>
                <w:kern w:val="0"/>
                <w:sz w:val="22"/>
                <w:szCs w:val="22"/>
              </w:rPr>
            </w:pPr>
            <w:r>
              <w:rPr>
                <w:rFonts w:ascii="仿宋_GB2312" w:eastAsia="仿宋_GB2312" w:hAnsi="宋体" w:cs="仿宋_GB2312" w:hint="eastAsia"/>
                <w:b/>
                <w:bCs/>
                <w:kern w:val="0"/>
                <w:sz w:val="22"/>
                <w:szCs w:val="22"/>
              </w:rPr>
              <w:t>招商洽谈工作进展情况</w:t>
            </w:r>
          </w:p>
        </w:tc>
        <w:tc>
          <w:tcPr>
            <w:tcW w:w="1476"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b/>
                <w:bCs/>
                <w:kern w:val="0"/>
                <w:sz w:val="22"/>
                <w:szCs w:val="22"/>
              </w:rPr>
            </w:pPr>
            <w:r>
              <w:rPr>
                <w:rFonts w:ascii="仿宋_GB2312" w:eastAsia="仿宋_GB2312" w:hAnsi="宋体" w:cs="仿宋_GB2312" w:hint="eastAsia"/>
                <w:b/>
                <w:bCs/>
                <w:kern w:val="0"/>
                <w:sz w:val="22"/>
                <w:szCs w:val="22"/>
              </w:rPr>
              <w:t>预计建设起止时间</w:t>
            </w:r>
          </w:p>
        </w:tc>
      </w:tr>
      <w:tr w:rsidR="00AC2A0C" w:rsidTr="00AC2A0C">
        <w:trPr>
          <w:trHeight w:val="135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丽水市口腔医院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丽阳路以南、和平路以西区块</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规划用地</w:t>
            </w:r>
            <w:r>
              <w:rPr>
                <w:rFonts w:ascii="仿宋_GB2312" w:eastAsia="仿宋_GB2312" w:hAnsi="宋体" w:cs="仿宋_GB2312"/>
                <w:kern w:val="0"/>
                <w:sz w:val="22"/>
                <w:szCs w:val="22"/>
              </w:rPr>
              <w:t>3748</w:t>
            </w:r>
            <w:r>
              <w:rPr>
                <w:rFonts w:ascii="宋体" w:hAnsi="宋体" w:cs="宋体" w:hint="eastAsia"/>
                <w:kern w:val="0"/>
                <w:sz w:val="22"/>
                <w:szCs w:val="22"/>
              </w:rPr>
              <w:t>㎡</w:t>
            </w:r>
            <w:r>
              <w:rPr>
                <w:rFonts w:ascii="仿宋_GB2312" w:eastAsia="仿宋_GB2312" w:hAnsi="仿宋_GB2312" w:cs="仿宋_GB2312" w:hint="eastAsia"/>
                <w:kern w:val="0"/>
                <w:sz w:val="22"/>
                <w:szCs w:val="22"/>
              </w:rPr>
              <w:t>，近期建设面积</w:t>
            </w:r>
            <w:r>
              <w:rPr>
                <w:rFonts w:ascii="仿宋_GB2312" w:eastAsia="仿宋_GB2312" w:hAnsi="宋体" w:cs="仿宋_GB2312"/>
                <w:kern w:val="0"/>
                <w:sz w:val="22"/>
                <w:szCs w:val="22"/>
              </w:rPr>
              <w:t>7000</w:t>
            </w:r>
            <w:r>
              <w:rPr>
                <w:rFonts w:ascii="仿宋_GB2312" w:eastAsia="仿宋_GB2312" w:hAnsi="宋体" w:cs="仿宋_GB2312" w:hint="eastAsia"/>
                <w:kern w:val="0"/>
                <w:sz w:val="22"/>
                <w:szCs w:val="22"/>
              </w:rPr>
              <w:t>平方米，远期在</w:t>
            </w:r>
            <w:r>
              <w:rPr>
                <w:rFonts w:ascii="仿宋_GB2312" w:eastAsia="仿宋_GB2312" w:hAnsi="宋体" w:cs="仿宋_GB2312"/>
                <w:kern w:val="0"/>
                <w:sz w:val="22"/>
                <w:szCs w:val="22"/>
              </w:rPr>
              <w:t>15000</w:t>
            </w:r>
            <w:r>
              <w:rPr>
                <w:rFonts w:ascii="仿宋_GB2312" w:eastAsia="仿宋_GB2312" w:hAnsi="宋体" w:cs="仿宋_GB2312" w:hint="eastAsia"/>
                <w:kern w:val="0"/>
                <w:sz w:val="22"/>
                <w:szCs w:val="22"/>
              </w:rPr>
              <w:t>平方米左右，总床位数</w:t>
            </w:r>
            <w:r>
              <w:rPr>
                <w:rFonts w:ascii="仿宋_GB2312" w:eastAsia="仿宋_GB2312" w:hAnsi="宋体" w:cs="仿宋_GB2312"/>
                <w:kern w:val="0"/>
                <w:sz w:val="22"/>
                <w:szCs w:val="22"/>
              </w:rPr>
              <w:t>50</w:t>
            </w:r>
            <w:r>
              <w:rPr>
                <w:rFonts w:ascii="仿宋_GB2312" w:eastAsia="仿宋_GB2312" w:hAnsi="宋体" w:cs="仿宋_GB2312" w:hint="eastAsia"/>
                <w:kern w:val="0"/>
                <w:sz w:val="22"/>
                <w:szCs w:val="22"/>
              </w:rPr>
              <w:t>张，设牙椅</w:t>
            </w:r>
            <w:r>
              <w:rPr>
                <w:rFonts w:ascii="仿宋_GB2312" w:eastAsia="仿宋_GB2312" w:hAnsi="宋体" w:cs="仿宋_GB2312"/>
                <w:kern w:val="0"/>
                <w:sz w:val="22"/>
                <w:szCs w:val="22"/>
              </w:rPr>
              <w:t>200</w:t>
            </w:r>
            <w:r>
              <w:rPr>
                <w:rFonts w:ascii="仿宋_GB2312" w:eastAsia="仿宋_GB2312" w:hAnsi="宋体" w:cs="仿宋_GB2312" w:hint="eastAsia"/>
                <w:kern w:val="0"/>
                <w:sz w:val="22"/>
                <w:szCs w:val="22"/>
              </w:rPr>
              <w:t>张。</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8000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目前初步设计审查中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2015-2017</w:t>
            </w:r>
            <w:r>
              <w:rPr>
                <w:rFonts w:ascii="仿宋_GB2312" w:eastAsia="仿宋_GB2312" w:hAnsi="宋体" w:cs="仿宋_GB2312" w:hint="eastAsia"/>
                <w:kern w:val="0"/>
                <w:sz w:val="22"/>
                <w:szCs w:val="22"/>
              </w:rPr>
              <w:t>年</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丽水东方华侨康福医院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环城东路雅坑溪站北路以南、好溪东路以东区块。</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规划用地</w:t>
            </w:r>
            <w:r>
              <w:rPr>
                <w:rFonts w:ascii="仿宋_GB2312" w:eastAsia="仿宋_GB2312" w:hAnsi="宋体" w:cs="仿宋_GB2312"/>
                <w:kern w:val="0"/>
                <w:sz w:val="22"/>
                <w:szCs w:val="22"/>
              </w:rPr>
              <w:t>29016</w:t>
            </w:r>
            <w:r>
              <w:rPr>
                <w:rFonts w:ascii="宋体" w:hAnsi="宋体" w:cs="宋体" w:hint="eastAsia"/>
                <w:kern w:val="0"/>
                <w:sz w:val="22"/>
                <w:szCs w:val="22"/>
              </w:rPr>
              <w:t>㎡</w:t>
            </w:r>
            <w:r>
              <w:rPr>
                <w:rFonts w:ascii="仿宋_GB2312" w:eastAsia="仿宋_GB2312" w:hAnsi="仿宋_GB2312" w:cs="仿宋_GB2312" w:hint="eastAsia"/>
                <w:kern w:val="0"/>
                <w:sz w:val="22"/>
                <w:szCs w:val="22"/>
              </w:rPr>
              <w:t>，总建筑面积</w:t>
            </w:r>
            <w:r>
              <w:rPr>
                <w:rFonts w:ascii="仿宋_GB2312" w:eastAsia="仿宋_GB2312" w:hAnsi="宋体" w:cs="仿宋_GB2312"/>
                <w:kern w:val="0"/>
                <w:sz w:val="22"/>
                <w:szCs w:val="22"/>
              </w:rPr>
              <w:t>13365</w:t>
            </w:r>
            <w:r>
              <w:rPr>
                <w:rFonts w:ascii="宋体" w:hAnsi="宋体" w:cs="宋体" w:hint="eastAsia"/>
                <w:kern w:val="0"/>
                <w:sz w:val="22"/>
                <w:szCs w:val="22"/>
              </w:rPr>
              <w:t>㎡</w:t>
            </w:r>
            <w:r>
              <w:rPr>
                <w:rFonts w:ascii="仿宋_GB2312" w:eastAsia="仿宋_GB2312" w:hAnsi="仿宋_GB2312" w:cs="仿宋_GB2312" w:hint="eastAsia"/>
                <w:kern w:val="0"/>
                <w:sz w:val="22"/>
                <w:szCs w:val="22"/>
              </w:rPr>
              <w:t>，建设门诊医技楼、住院楼、后勤保障房等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20487</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已经市政府同意，并进入项目前期审批</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2015-2017</w:t>
            </w:r>
            <w:r>
              <w:rPr>
                <w:rFonts w:ascii="仿宋_GB2312" w:eastAsia="仿宋_GB2312" w:hAnsi="宋体" w:cs="仿宋_GB2312" w:hint="eastAsia"/>
                <w:kern w:val="0"/>
                <w:sz w:val="22"/>
                <w:szCs w:val="22"/>
              </w:rPr>
              <w:t>年</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丽水钭氏医院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联城街道武平路以北、联城路以西区块</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新建门诊楼、病房大楼、附属用房</w:t>
            </w:r>
            <w:r>
              <w:rPr>
                <w:rFonts w:ascii="仿宋_GB2312" w:eastAsia="仿宋_GB2312" w:hAnsi="宋体" w:cs="仿宋_GB2312"/>
                <w:kern w:val="0"/>
                <w:sz w:val="22"/>
                <w:szCs w:val="22"/>
              </w:rPr>
              <w:t>18000</w:t>
            </w:r>
            <w:r>
              <w:rPr>
                <w:rFonts w:ascii="仿宋_GB2312" w:eastAsia="仿宋_GB2312" w:hAnsi="宋体" w:cs="仿宋_GB2312" w:hint="eastAsia"/>
                <w:kern w:val="0"/>
                <w:sz w:val="22"/>
                <w:szCs w:val="22"/>
              </w:rPr>
              <w:t>平方米及配套建设，总用地面积</w:t>
            </w:r>
            <w:r>
              <w:rPr>
                <w:rFonts w:ascii="仿宋_GB2312" w:eastAsia="仿宋_GB2312" w:hAnsi="宋体" w:cs="仿宋_GB2312"/>
                <w:kern w:val="0"/>
                <w:sz w:val="22"/>
                <w:szCs w:val="22"/>
              </w:rPr>
              <w:t>35</w:t>
            </w:r>
            <w:r>
              <w:rPr>
                <w:rFonts w:ascii="仿宋_GB2312" w:eastAsia="仿宋_GB2312" w:hAnsi="宋体" w:cs="仿宋_GB2312" w:hint="eastAsia"/>
                <w:kern w:val="0"/>
                <w:sz w:val="22"/>
                <w:szCs w:val="22"/>
              </w:rPr>
              <w:t>亩</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设计方案编制</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2015-2017</w:t>
            </w:r>
            <w:r>
              <w:rPr>
                <w:rFonts w:ascii="仿宋_GB2312" w:eastAsia="仿宋_GB2312" w:hAnsi="宋体" w:cs="仿宋_GB2312" w:hint="eastAsia"/>
                <w:kern w:val="0"/>
                <w:sz w:val="22"/>
                <w:szCs w:val="22"/>
              </w:rPr>
              <w:t>年</w:t>
            </w:r>
          </w:p>
        </w:tc>
      </w:tr>
      <w:tr w:rsidR="00AC2A0C" w:rsidTr="00AC2A0C">
        <w:trPr>
          <w:trHeight w:val="189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富岭中医养生保健院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莲都区富岭街道</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规划用地约</w:t>
            </w:r>
            <w:r>
              <w:rPr>
                <w:rFonts w:ascii="仿宋_GB2312" w:eastAsia="仿宋_GB2312" w:hAnsi="宋体" w:cs="仿宋_GB2312"/>
                <w:kern w:val="0"/>
                <w:sz w:val="22"/>
                <w:szCs w:val="22"/>
              </w:rPr>
              <w:t>100</w:t>
            </w:r>
            <w:r>
              <w:rPr>
                <w:rFonts w:ascii="仿宋_GB2312" w:eastAsia="仿宋_GB2312" w:hAnsi="宋体" w:cs="仿宋_GB2312" w:hint="eastAsia"/>
                <w:kern w:val="0"/>
                <w:sz w:val="22"/>
                <w:szCs w:val="22"/>
              </w:rPr>
              <w:t>亩，总建筑面积</w:t>
            </w:r>
            <w:r>
              <w:rPr>
                <w:rFonts w:ascii="仿宋_GB2312" w:eastAsia="仿宋_GB2312" w:hAnsi="宋体" w:cs="仿宋_GB2312"/>
                <w:kern w:val="0"/>
                <w:sz w:val="22"/>
                <w:szCs w:val="22"/>
              </w:rPr>
              <w:t>23000</w:t>
            </w:r>
            <w:r>
              <w:rPr>
                <w:rFonts w:ascii="宋体" w:hAnsi="宋体" w:cs="宋体" w:hint="eastAsia"/>
                <w:kern w:val="0"/>
                <w:sz w:val="22"/>
                <w:szCs w:val="22"/>
              </w:rPr>
              <w:t>㎡</w:t>
            </w:r>
            <w:r>
              <w:rPr>
                <w:rFonts w:ascii="仿宋_GB2312" w:eastAsia="仿宋_GB2312" w:hAnsi="仿宋_GB2312" w:cs="仿宋_GB2312" w:hint="eastAsia"/>
                <w:kern w:val="0"/>
                <w:sz w:val="22"/>
                <w:szCs w:val="22"/>
              </w:rPr>
              <w:t>，建设中医养生保健体验馆、康复治疗区、养生保健区、中医药制剂研究中心、美容养颜休闲区、中草药百草园等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15000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混合经济</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w:t>
            </w:r>
            <w:r>
              <w:rPr>
                <w:rFonts w:ascii="仿宋_GB2312" w:eastAsia="仿宋_GB2312" w:hAnsi="宋体" w:cs="仿宋_GB2312" w:hint="eastAsia"/>
                <w:kern w:val="0"/>
                <w:sz w:val="22"/>
                <w:szCs w:val="22"/>
              </w:rPr>
              <w:t>、选择合作企业合作意向确定。</w:t>
            </w:r>
            <w:r>
              <w:rPr>
                <w:rFonts w:ascii="仿宋_GB2312" w:eastAsia="仿宋_GB2312" w:hAnsi="宋体" w:cs="仿宋_GB2312"/>
                <w:kern w:val="0"/>
                <w:sz w:val="22"/>
                <w:szCs w:val="22"/>
              </w:rPr>
              <w:t>2</w:t>
            </w:r>
            <w:r>
              <w:rPr>
                <w:rFonts w:ascii="仿宋_GB2312" w:eastAsia="仿宋_GB2312" w:hAnsi="宋体" w:cs="仿宋_GB2312" w:hint="eastAsia"/>
                <w:kern w:val="0"/>
                <w:sz w:val="22"/>
                <w:szCs w:val="22"/>
              </w:rPr>
              <w:t>、项目选址进行中，初步意向为富岭吴弄口村</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选择合作企业合作意向确定。</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5</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花街养老</w:t>
            </w:r>
            <w:r>
              <w:rPr>
                <w:rFonts w:ascii="仿宋_GB2312" w:eastAsia="仿宋_GB2312" w:hAnsi="宋体" w:cs="仿宋_GB2312"/>
                <w:kern w:val="0"/>
                <w:sz w:val="22"/>
                <w:szCs w:val="22"/>
              </w:rPr>
              <w:t>(</w:t>
            </w:r>
            <w:r>
              <w:rPr>
                <w:rFonts w:ascii="仿宋_GB2312" w:eastAsia="仿宋_GB2312" w:hAnsi="宋体" w:cs="仿宋_GB2312" w:hint="eastAsia"/>
                <w:kern w:val="0"/>
                <w:sz w:val="22"/>
                <w:szCs w:val="22"/>
              </w:rPr>
              <w:t>养生</w:t>
            </w:r>
            <w:r>
              <w:rPr>
                <w:rFonts w:ascii="仿宋_GB2312" w:eastAsia="仿宋_GB2312" w:hAnsi="宋体" w:cs="仿宋_GB2312"/>
                <w:kern w:val="0"/>
                <w:sz w:val="22"/>
                <w:szCs w:val="22"/>
              </w:rPr>
              <w:t>)</w:t>
            </w:r>
            <w:r>
              <w:rPr>
                <w:rFonts w:ascii="仿宋_GB2312" w:eastAsia="仿宋_GB2312" w:hAnsi="宋体" w:cs="仿宋_GB2312" w:hint="eastAsia"/>
                <w:kern w:val="0"/>
                <w:sz w:val="22"/>
                <w:szCs w:val="22"/>
              </w:rPr>
              <w:t>项目</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联城花街区块</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总用地</w:t>
            </w:r>
            <w:r>
              <w:rPr>
                <w:rFonts w:ascii="仿宋_GB2312" w:eastAsia="仿宋_GB2312" w:hAnsi="宋体" w:cs="仿宋_GB2312"/>
                <w:kern w:val="0"/>
                <w:sz w:val="22"/>
                <w:szCs w:val="22"/>
              </w:rPr>
              <w:t>155</w:t>
            </w:r>
            <w:r>
              <w:rPr>
                <w:rFonts w:ascii="仿宋_GB2312" w:eastAsia="仿宋_GB2312" w:hAnsi="宋体" w:cs="仿宋_GB2312" w:hint="eastAsia"/>
                <w:kern w:val="0"/>
                <w:sz w:val="22"/>
                <w:szCs w:val="22"/>
              </w:rPr>
              <w:t>亩，总建筑面积</w:t>
            </w:r>
            <w:r>
              <w:rPr>
                <w:rFonts w:ascii="仿宋_GB2312" w:eastAsia="仿宋_GB2312" w:hAnsi="宋体" w:cs="仿宋_GB2312"/>
                <w:kern w:val="0"/>
                <w:sz w:val="22"/>
                <w:szCs w:val="22"/>
              </w:rPr>
              <w:t>13</w:t>
            </w:r>
            <w:r>
              <w:rPr>
                <w:rFonts w:ascii="仿宋_GB2312" w:eastAsia="仿宋_GB2312" w:hAnsi="宋体" w:cs="仿宋_GB2312" w:hint="eastAsia"/>
                <w:kern w:val="0"/>
                <w:sz w:val="22"/>
                <w:szCs w:val="22"/>
              </w:rPr>
              <w:t>万平方米，</w:t>
            </w:r>
            <w:r>
              <w:rPr>
                <w:rFonts w:ascii="仿宋_GB2312" w:eastAsia="仿宋_GB2312" w:hAnsi="宋体" w:cs="仿宋_GB2312"/>
                <w:kern w:val="0"/>
                <w:sz w:val="22"/>
                <w:szCs w:val="22"/>
              </w:rPr>
              <w:t>1500</w:t>
            </w:r>
            <w:r>
              <w:rPr>
                <w:rFonts w:ascii="仿宋_GB2312" w:eastAsia="仿宋_GB2312" w:hAnsi="宋体" w:cs="仿宋_GB2312" w:hint="eastAsia"/>
                <w:kern w:val="0"/>
                <w:sz w:val="22"/>
                <w:szCs w:val="22"/>
              </w:rPr>
              <w:t>张床位</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50000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正在洽谈</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2015-2018</w:t>
            </w:r>
          </w:p>
        </w:tc>
      </w:tr>
      <w:tr w:rsidR="00AC2A0C" w:rsidTr="00AC2A0C">
        <w:trPr>
          <w:trHeight w:val="135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lastRenderedPageBreak/>
              <w:t>6</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丽水钭氏医院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莲都联城街道</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总用地面积</w:t>
            </w:r>
            <w:r>
              <w:rPr>
                <w:rFonts w:ascii="仿宋_GB2312" w:eastAsia="仿宋_GB2312" w:hAnsi="宋体" w:cs="仿宋_GB2312"/>
                <w:kern w:val="0"/>
                <w:sz w:val="22"/>
                <w:szCs w:val="22"/>
              </w:rPr>
              <w:t>23335</w:t>
            </w:r>
            <w:r>
              <w:rPr>
                <w:rFonts w:ascii="仿宋_GB2312" w:eastAsia="仿宋_GB2312" w:hAnsi="宋体" w:cs="仿宋_GB2312" w:hint="eastAsia"/>
                <w:kern w:val="0"/>
                <w:sz w:val="22"/>
                <w:szCs w:val="22"/>
              </w:rPr>
              <w:t>平方米，新建门诊楼、病房大楼、附属用房</w:t>
            </w:r>
            <w:r>
              <w:rPr>
                <w:rFonts w:ascii="仿宋_GB2312" w:eastAsia="仿宋_GB2312" w:hAnsi="宋体" w:cs="仿宋_GB2312"/>
                <w:kern w:val="0"/>
                <w:sz w:val="22"/>
                <w:szCs w:val="22"/>
              </w:rPr>
              <w:t>18000</w:t>
            </w:r>
            <w:r>
              <w:rPr>
                <w:rFonts w:ascii="仿宋_GB2312" w:eastAsia="仿宋_GB2312" w:hAnsi="宋体" w:cs="仿宋_GB2312" w:hint="eastAsia"/>
                <w:kern w:val="0"/>
                <w:sz w:val="22"/>
                <w:szCs w:val="22"/>
              </w:rPr>
              <w:t>平方米及配套设施。</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完成土地农转用，规划方案办理中。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已签订招商协议，现协调内、外资事宜。</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 xml:space="preserve">2014 -2017 </w:t>
            </w:r>
          </w:p>
        </w:tc>
      </w:tr>
      <w:tr w:rsidR="00AC2A0C" w:rsidTr="00AC2A0C">
        <w:trPr>
          <w:trHeight w:val="162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7</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莲都区人民医院（丽水市人民医院莲都分院）暨养生养老中心</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莲都碧湖镇</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总用地</w:t>
            </w:r>
            <w:r>
              <w:rPr>
                <w:rFonts w:ascii="仿宋_GB2312" w:eastAsia="仿宋_GB2312" w:hAnsi="宋体" w:cs="仿宋_GB2312"/>
                <w:kern w:val="0"/>
                <w:sz w:val="22"/>
                <w:szCs w:val="22"/>
              </w:rPr>
              <w:t>260</w:t>
            </w:r>
            <w:r>
              <w:rPr>
                <w:rFonts w:ascii="仿宋_GB2312" w:eastAsia="仿宋_GB2312" w:hAnsi="宋体" w:cs="仿宋_GB2312" w:hint="eastAsia"/>
                <w:kern w:val="0"/>
                <w:sz w:val="22"/>
                <w:szCs w:val="22"/>
              </w:rPr>
              <w:t>亩，分别建设莲都区人民医院新院区、养生养老中心及居家养生社区，建筑面积约</w:t>
            </w:r>
            <w:r>
              <w:rPr>
                <w:rFonts w:ascii="仿宋_GB2312" w:eastAsia="仿宋_GB2312" w:hAnsi="宋体" w:cs="仿宋_GB2312"/>
                <w:kern w:val="0"/>
                <w:sz w:val="22"/>
                <w:szCs w:val="22"/>
              </w:rPr>
              <w:t>23</w:t>
            </w:r>
            <w:r>
              <w:rPr>
                <w:rFonts w:ascii="仿宋_GB2312" w:eastAsia="仿宋_GB2312" w:hAnsi="宋体" w:cs="仿宋_GB2312" w:hint="eastAsia"/>
                <w:kern w:val="0"/>
                <w:sz w:val="22"/>
                <w:szCs w:val="22"/>
              </w:rPr>
              <w:t>万平方米</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130000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谋划阶段</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洽谈中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2015-2020</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8</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大陈养老院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莲都大陈村</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床位</w:t>
            </w:r>
            <w:r>
              <w:rPr>
                <w:rFonts w:ascii="仿宋_GB2312" w:eastAsia="仿宋_GB2312" w:hAnsi="宋体" w:cs="仿宋_GB2312"/>
                <w:kern w:val="0"/>
                <w:sz w:val="22"/>
                <w:szCs w:val="22"/>
              </w:rPr>
              <w:t>200</w:t>
            </w:r>
            <w:r>
              <w:rPr>
                <w:rFonts w:ascii="仿宋_GB2312" w:eastAsia="仿宋_GB2312" w:hAnsi="宋体" w:cs="仿宋_GB2312" w:hint="eastAsia"/>
                <w:kern w:val="0"/>
                <w:sz w:val="22"/>
                <w:szCs w:val="22"/>
              </w:rPr>
              <w:t>个养老服务</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6500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办理农转用</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已签订招商协议</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2014-2015</w:t>
            </w:r>
          </w:p>
        </w:tc>
      </w:tr>
      <w:tr w:rsidR="00AC2A0C" w:rsidTr="00AC2A0C">
        <w:trPr>
          <w:trHeight w:val="123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9</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雅溪养老院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莲都雅溪镇</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床位</w:t>
            </w:r>
            <w:r>
              <w:rPr>
                <w:rFonts w:ascii="仿宋_GB2312" w:eastAsia="仿宋_GB2312" w:hAnsi="宋体" w:cs="仿宋_GB2312"/>
                <w:kern w:val="0"/>
                <w:sz w:val="22"/>
                <w:szCs w:val="22"/>
              </w:rPr>
              <w:t>200</w:t>
            </w:r>
            <w:r>
              <w:rPr>
                <w:rFonts w:ascii="仿宋_GB2312" w:eastAsia="仿宋_GB2312" w:hAnsi="宋体" w:cs="仿宋_GB2312" w:hint="eastAsia"/>
                <w:kern w:val="0"/>
                <w:sz w:val="22"/>
                <w:szCs w:val="22"/>
              </w:rPr>
              <w:t>个</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6000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前期选址</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商谈</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2015-2016</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金太阳惠老服务中心</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城区</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床位</w:t>
            </w:r>
            <w:r>
              <w:rPr>
                <w:rFonts w:ascii="仿宋_GB2312" w:eastAsia="仿宋_GB2312" w:hAnsi="宋体" w:cs="仿宋_GB2312"/>
                <w:kern w:val="0"/>
                <w:sz w:val="22"/>
                <w:szCs w:val="22"/>
              </w:rPr>
              <w:t>300</w:t>
            </w:r>
            <w:r>
              <w:rPr>
                <w:rFonts w:ascii="仿宋_GB2312" w:eastAsia="仿宋_GB2312" w:hAnsi="宋体" w:cs="仿宋_GB2312" w:hint="eastAsia"/>
                <w:kern w:val="0"/>
                <w:sz w:val="22"/>
                <w:szCs w:val="22"/>
              </w:rPr>
              <w:t>个</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前期选址</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商谈</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2015-2016</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11</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丽水桂花清泉休闲养山庄</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莲都碧湖镇白桥村</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建设游客服务站、迎宾小广场、绿谷美食苑、农家乐住宿接待用房及旅游基础设施</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10500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总体规划已编制并通过评审，土地性质已调整，土地已流转</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已签订招商协议</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2014-2019</w:t>
            </w:r>
          </w:p>
        </w:tc>
      </w:tr>
      <w:tr w:rsidR="00AC2A0C" w:rsidTr="00AC2A0C">
        <w:trPr>
          <w:trHeight w:val="162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lastRenderedPageBreak/>
              <w:t>12</w:t>
            </w:r>
          </w:p>
        </w:tc>
        <w:tc>
          <w:tcPr>
            <w:tcW w:w="1255" w:type="dxa"/>
            <w:tcBorders>
              <w:top w:val="nil"/>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莲都区郎奇</w:t>
            </w:r>
            <w:r>
              <w:rPr>
                <w:rFonts w:ascii="仿宋_GB2312" w:eastAsia="仿宋_GB2312" w:hAnsi="宋体" w:cs="仿宋_GB2312"/>
                <w:kern w:val="0"/>
                <w:sz w:val="22"/>
                <w:szCs w:val="22"/>
              </w:rPr>
              <w:t>-</w:t>
            </w:r>
            <w:r>
              <w:rPr>
                <w:rFonts w:ascii="仿宋_GB2312" w:eastAsia="仿宋_GB2312" w:hAnsi="宋体" w:cs="仿宋_GB2312" w:hint="eastAsia"/>
                <w:kern w:val="0"/>
                <w:sz w:val="22"/>
                <w:szCs w:val="22"/>
              </w:rPr>
              <w:t>白桥休闲养生（养老）基地</w:t>
            </w:r>
          </w:p>
        </w:tc>
        <w:tc>
          <w:tcPr>
            <w:tcW w:w="1290" w:type="dxa"/>
            <w:tcBorders>
              <w:top w:val="nil"/>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莲都碧湖镇</w:t>
            </w:r>
          </w:p>
        </w:tc>
        <w:tc>
          <w:tcPr>
            <w:tcW w:w="2356" w:type="dxa"/>
            <w:tcBorders>
              <w:top w:val="nil"/>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总用地</w:t>
            </w:r>
            <w:r>
              <w:rPr>
                <w:rFonts w:ascii="仿宋_GB2312" w:eastAsia="仿宋_GB2312" w:hAnsi="宋体" w:cs="仿宋_GB2312"/>
                <w:kern w:val="0"/>
                <w:sz w:val="22"/>
                <w:szCs w:val="22"/>
              </w:rPr>
              <w:t>2229</w:t>
            </w:r>
            <w:r>
              <w:rPr>
                <w:rFonts w:ascii="仿宋_GB2312" w:eastAsia="仿宋_GB2312" w:hAnsi="宋体" w:cs="仿宋_GB2312" w:hint="eastAsia"/>
                <w:kern w:val="0"/>
                <w:sz w:val="22"/>
                <w:szCs w:val="22"/>
              </w:rPr>
              <w:t>亩，近期</w:t>
            </w:r>
            <w:r>
              <w:rPr>
                <w:rFonts w:ascii="仿宋_GB2312" w:eastAsia="仿宋_GB2312" w:hAnsi="宋体" w:cs="仿宋_GB2312"/>
                <w:kern w:val="0"/>
                <w:sz w:val="22"/>
                <w:szCs w:val="22"/>
              </w:rPr>
              <w:t>1033</w:t>
            </w:r>
            <w:r>
              <w:rPr>
                <w:rFonts w:ascii="仿宋_GB2312" w:eastAsia="仿宋_GB2312" w:hAnsi="宋体" w:cs="仿宋_GB2312" w:hint="eastAsia"/>
                <w:kern w:val="0"/>
                <w:sz w:val="22"/>
                <w:szCs w:val="22"/>
              </w:rPr>
              <w:t>亩，拟建集休闲、旅游、养生、养老、医疗保健、房地产为一体的综合性养生养老项目。</w:t>
            </w:r>
          </w:p>
        </w:tc>
        <w:tc>
          <w:tcPr>
            <w:tcW w:w="1000" w:type="dxa"/>
            <w:tcBorders>
              <w:top w:val="nil"/>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100000</w:t>
            </w:r>
          </w:p>
        </w:tc>
        <w:tc>
          <w:tcPr>
            <w:tcW w:w="945" w:type="dxa"/>
            <w:tcBorders>
              <w:top w:val="nil"/>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完成一期</w:t>
            </w:r>
            <w:r>
              <w:rPr>
                <w:rFonts w:ascii="仿宋_GB2312" w:eastAsia="仿宋_GB2312" w:hAnsi="宋体" w:cs="仿宋_GB2312"/>
                <w:kern w:val="0"/>
                <w:sz w:val="22"/>
                <w:szCs w:val="22"/>
              </w:rPr>
              <w:t>788</w:t>
            </w:r>
            <w:r>
              <w:rPr>
                <w:rFonts w:ascii="仿宋_GB2312" w:eastAsia="仿宋_GB2312" w:hAnsi="宋体" w:cs="仿宋_GB2312" w:hint="eastAsia"/>
                <w:kern w:val="0"/>
                <w:sz w:val="22"/>
                <w:szCs w:val="22"/>
              </w:rPr>
              <w:t>亩土地报批，完成总规、控规编制。</w:t>
            </w:r>
          </w:p>
        </w:tc>
        <w:tc>
          <w:tcPr>
            <w:tcW w:w="945" w:type="dxa"/>
            <w:tcBorders>
              <w:top w:val="nil"/>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处风荷谷养生园、鱼跃文化产业园两个项目已签约</w:t>
            </w:r>
          </w:p>
        </w:tc>
        <w:tc>
          <w:tcPr>
            <w:tcW w:w="1476" w:type="dxa"/>
            <w:tcBorders>
              <w:top w:val="nil"/>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2014-2017</w:t>
            </w:r>
          </w:p>
        </w:tc>
      </w:tr>
      <w:tr w:rsidR="00AC2A0C" w:rsidTr="00AC2A0C">
        <w:trPr>
          <w:trHeight w:val="135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13</w:t>
            </w:r>
          </w:p>
        </w:tc>
        <w:tc>
          <w:tcPr>
            <w:tcW w:w="1255"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龙泉谢氏骨伤医院</w:t>
            </w:r>
          </w:p>
        </w:tc>
        <w:tc>
          <w:tcPr>
            <w:tcW w:w="1290"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龙泉市南秦村</w:t>
            </w:r>
          </w:p>
        </w:tc>
        <w:tc>
          <w:tcPr>
            <w:tcW w:w="2356"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二级骨科医院</w:t>
            </w:r>
          </w:p>
        </w:tc>
        <w:tc>
          <w:tcPr>
            <w:tcW w:w="1000"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6000</w:t>
            </w:r>
          </w:p>
        </w:tc>
        <w:tc>
          <w:tcPr>
            <w:tcW w:w="945"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独资</w:t>
            </w:r>
          </w:p>
        </w:tc>
        <w:tc>
          <w:tcPr>
            <w:tcW w:w="1706"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正在进行前期准备，</w:t>
            </w:r>
            <w:r>
              <w:rPr>
                <w:rFonts w:ascii="仿宋_GB2312" w:eastAsia="仿宋_GB2312" w:hAnsi="宋体" w:cs="仿宋_GB2312"/>
                <w:kern w:val="0"/>
                <w:sz w:val="22"/>
                <w:szCs w:val="22"/>
              </w:rPr>
              <w:t>2014</w:t>
            </w:r>
            <w:r>
              <w:rPr>
                <w:rFonts w:ascii="仿宋_GB2312" w:eastAsia="仿宋_GB2312" w:hAnsi="宋体" w:cs="仿宋_GB2312" w:hint="eastAsia"/>
                <w:kern w:val="0"/>
                <w:sz w:val="22"/>
                <w:szCs w:val="22"/>
              </w:rPr>
              <w:t>完成征地，</w:t>
            </w:r>
            <w:r>
              <w:rPr>
                <w:rFonts w:ascii="仿宋_GB2312" w:eastAsia="仿宋_GB2312" w:hAnsi="宋体" w:cs="仿宋_GB2312"/>
                <w:kern w:val="0"/>
                <w:sz w:val="22"/>
                <w:szCs w:val="22"/>
              </w:rPr>
              <w:t>2015</w:t>
            </w:r>
            <w:r>
              <w:rPr>
                <w:rFonts w:ascii="仿宋_GB2312" w:eastAsia="仿宋_GB2312" w:hAnsi="宋体" w:cs="仿宋_GB2312" w:hint="eastAsia"/>
                <w:kern w:val="0"/>
                <w:sz w:val="22"/>
                <w:szCs w:val="22"/>
              </w:rPr>
              <w:t>年初动工</w:t>
            </w:r>
          </w:p>
        </w:tc>
        <w:tc>
          <w:tcPr>
            <w:tcW w:w="945"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独资</w:t>
            </w:r>
          </w:p>
        </w:tc>
        <w:tc>
          <w:tcPr>
            <w:tcW w:w="1476"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w:t>
            </w:r>
            <w:r>
              <w:rPr>
                <w:rFonts w:ascii="仿宋_GB2312" w:eastAsia="仿宋_GB2312" w:hAnsi="宋体" w:cs="仿宋_GB2312" w:hint="eastAsia"/>
                <w:kern w:val="0"/>
                <w:sz w:val="22"/>
                <w:szCs w:val="22"/>
              </w:rPr>
              <w:t>年</w:t>
            </w:r>
            <w:r>
              <w:rPr>
                <w:rFonts w:ascii="仿宋_GB2312" w:eastAsia="仿宋_GB2312" w:hAnsi="宋体" w:cs="仿宋_GB2312"/>
                <w:kern w:val="0"/>
                <w:sz w:val="22"/>
                <w:szCs w:val="22"/>
              </w:rPr>
              <w:t>1</w:t>
            </w:r>
            <w:r>
              <w:rPr>
                <w:rFonts w:ascii="仿宋_GB2312" w:eastAsia="仿宋_GB2312" w:hAnsi="宋体" w:cs="仿宋_GB2312" w:hint="eastAsia"/>
                <w:kern w:val="0"/>
                <w:sz w:val="22"/>
                <w:szCs w:val="22"/>
              </w:rPr>
              <w:t>月至</w:t>
            </w:r>
            <w:r>
              <w:rPr>
                <w:rFonts w:ascii="仿宋_GB2312" w:eastAsia="仿宋_GB2312" w:hAnsi="宋体" w:cs="仿宋_GB2312"/>
                <w:kern w:val="0"/>
                <w:sz w:val="22"/>
                <w:szCs w:val="22"/>
              </w:rPr>
              <w:t>2016</w:t>
            </w:r>
            <w:r>
              <w:rPr>
                <w:rFonts w:ascii="仿宋_GB2312" w:eastAsia="仿宋_GB2312" w:hAnsi="宋体" w:cs="仿宋_GB2312" w:hint="eastAsia"/>
                <w:kern w:val="0"/>
                <w:sz w:val="22"/>
                <w:szCs w:val="22"/>
              </w:rPr>
              <w:t>年</w:t>
            </w:r>
            <w:r>
              <w:rPr>
                <w:rFonts w:ascii="仿宋_GB2312" w:eastAsia="仿宋_GB2312" w:hAnsi="宋体" w:cs="仿宋_GB2312"/>
                <w:kern w:val="0"/>
                <w:sz w:val="22"/>
                <w:szCs w:val="22"/>
              </w:rPr>
              <w:t>12</w:t>
            </w:r>
            <w:r>
              <w:rPr>
                <w:rFonts w:ascii="仿宋_GB2312" w:eastAsia="仿宋_GB2312" w:hAnsi="宋体" w:cs="仿宋_GB2312" w:hint="eastAsia"/>
                <w:kern w:val="0"/>
                <w:sz w:val="22"/>
                <w:szCs w:val="22"/>
              </w:rPr>
              <w:t>月</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14</w:t>
            </w:r>
          </w:p>
        </w:tc>
        <w:tc>
          <w:tcPr>
            <w:tcW w:w="1255"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龙泉市休闲养老中心（一期）</w:t>
            </w:r>
          </w:p>
        </w:tc>
        <w:tc>
          <w:tcPr>
            <w:tcW w:w="1290"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龙泉市苍松路三座碓地块</w:t>
            </w:r>
          </w:p>
        </w:tc>
        <w:tc>
          <w:tcPr>
            <w:tcW w:w="2356"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用地面积</w:t>
            </w:r>
            <w:r>
              <w:rPr>
                <w:rFonts w:ascii="仿宋_GB2312" w:eastAsia="仿宋_GB2312" w:hAnsi="宋体" w:cs="仿宋_GB2312"/>
                <w:kern w:val="0"/>
                <w:sz w:val="22"/>
                <w:szCs w:val="22"/>
              </w:rPr>
              <w:t>11868</w:t>
            </w:r>
            <w:r>
              <w:rPr>
                <w:rFonts w:ascii="仿宋_GB2312" w:eastAsia="仿宋_GB2312" w:hAnsi="宋体" w:cs="仿宋_GB2312" w:hint="eastAsia"/>
                <w:kern w:val="0"/>
                <w:sz w:val="22"/>
                <w:szCs w:val="22"/>
              </w:rPr>
              <w:t>，总建筑面积</w:t>
            </w:r>
            <w:r>
              <w:rPr>
                <w:rFonts w:ascii="仿宋_GB2312" w:eastAsia="仿宋_GB2312" w:hAnsi="宋体" w:cs="仿宋_GB2312"/>
                <w:kern w:val="0"/>
                <w:sz w:val="22"/>
                <w:szCs w:val="22"/>
              </w:rPr>
              <w:t>27184</w:t>
            </w:r>
          </w:p>
        </w:tc>
        <w:tc>
          <w:tcPr>
            <w:tcW w:w="1000"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7854</w:t>
            </w:r>
          </w:p>
        </w:tc>
        <w:tc>
          <w:tcPr>
            <w:tcW w:w="945"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民办公助</w:t>
            </w:r>
          </w:p>
        </w:tc>
        <w:tc>
          <w:tcPr>
            <w:tcW w:w="1706"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正在进行前期工作，预计</w:t>
            </w:r>
            <w:r>
              <w:rPr>
                <w:rFonts w:ascii="仿宋_GB2312" w:eastAsia="仿宋_GB2312" w:hAnsi="宋体" w:cs="仿宋_GB2312"/>
                <w:kern w:val="0"/>
                <w:sz w:val="22"/>
                <w:szCs w:val="22"/>
              </w:rPr>
              <w:t>2014</w:t>
            </w:r>
            <w:r>
              <w:rPr>
                <w:rFonts w:ascii="仿宋_GB2312" w:eastAsia="仿宋_GB2312" w:hAnsi="宋体" w:cs="仿宋_GB2312" w:hint="eastAsia"/>
                <w:kern w:val="0"/>
                <w:sz w:val="22"/>
                <w:szCs w:val="22"/>
              </w:rPr>
              <w:t>年底动工</w:t>
            </w:r>
          </w:p>
        </w:tc>
        <w:tc>
          <w:tcPr>
            <w:tcW w:w="945"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独资</w:t>
            </w:r>
          </w:p>
        </w:tc>
        <w:tc>
          <w:tcPr>
            <w:tcW w:w="1476"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2014-2016</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15</w:t>
            </w:r>
          </w:p>
        </w:tc>
        <w:tc>
          <w:tcPr>
            <w:tcW w:w="1255"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青田康复医院</w:t>
            </w:r>
          </w:p>
        </w:tc>
        <w:tc>
          <w:tcPr>
            <w:tcW w:w="1290"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青田油竹街道</w:t>
            </w:r>
          </w:p>
        </w:tc>
        <w:tc>
          <w:tcPr>
            <w:tcW w:w="2356"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按康复带综合医院规划，计划用地</w:t>
            </w:r>
            <w:r>
              <w:rPr>
                <w:rFonts w:ascii="仿宋_GB2312" w:eastAsia="仿宋_GB2312" w:hAnsi="宋体" w:cs="仿宋_GB2312"/>
                <w:kern w:val="0"/>
                <w:sz w:val="22"/>
                <w:szCs w:val="22"/>
              </w:rPr>
              <w:t>15</w:t>
            </w:r>
            <w:r>
              <w:rPr>
                <w:rFonts w:ascii="仿宋_GB2312" w:eastAsia="仿宋_GB2312" w:hAnsi="宋体" w:cs="仿宋_GB2312" w:hint="eastAsia"/>
                <w:kern w:val="0"/>
                <w:sz w:val="22"/>
                <w:szCs w:val="22"/>
              </w:rPr>
              <w:t>亩，建筑面积</w:t>
            </w:r>
            <w:r>
              <w:rPr>
                <w:rFonts w:ascii="仿宋_GB2312" w:eastAsia="仿宋_GB2312" w:hAnsi="宋体" w:cs="仿宋_GB2312"/>
                <w:kern w:val="0"/>
                <w:sz w:val="22"/>
                <w:szCs w:val="22"/>
              </w:rPr>
              <w:t>10000</w:t>
            </w:r>
            <w:r>
              <w:rPr>
                <w:rFonts w:ascii="仿宋_GB2312" w:eastAsia="仿宋_GB2312" w:hAnsi="宋体" w:cs="仿宋_GB2312" w:hint="eastAsia"/>
                <w:kern w:val="0"/>
                <w:sz w:val="22"/>
                <w:szCs w:val="22"/>
              </w:rPr>
              <w:t>平方米。</w:t>
            </w:r>
          </w:p>
        </w:tc>
        <w:tc>
          <w:tcPr>
            <w:tcW w:w="1000"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5000</w:t>
            </w:r>
          </w:p>
        </w:tc>
        <w:tc>
          <w:tcPr>
            <w:tcW w:w="945"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民办民营混合经济</w:t>
            </w:r>
          </w:p>
        </w:tc>
        <w:tc>
          <w:tcPr>
            <w:tcW w:w="1706"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前期规划</w:t>
            </w:r>
          </w:p>
        </w:tc>
        <w:tc>
          <w:tcPr>
            <w:tcW w:w="945"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single" w:sz="4" w:space="0" w:color="auto"/>
              <w:left w:val="nil"/>
              <w:bottom w:val="nil"/>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2015-2016</w:t>
            </w:r>
          </w:p>
        </w:tc>
      </w:tr>
      <w:tr w:rsidR="00AC2A0C" w:rsidTr="00AC2A0C">
        <w:trPr>
          <w:trHeight w:val="54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16</w:t>
            </w:r>
          </w:p>
        </w:tc>
        <w:tc>
          <w:tcPr>
            <w:tcW w:w="1255"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青田妇女儿童专科医院</w:t>
            </w:r>
          </w:p>
        </w:tc>
        <w:tc>
          <w:tcPr>
            <w:tcW w:w="1290"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青田油竹街道</w:t>
            </w:r>
          </w:p>
        </w:tc>
        <w:tc>
          <w:tcPr>
            <w:tcW w:w="2356"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按专科医院规划，建筑面积</w:t>
            </w:r>
            <w:r>
              <w:rPr>
                <w:rFonts w:ascii="仿宋_GB2312" w:eastAsia="仿宋_GB2312" w:hAnsi="宋体" w:cs="仿宋_GB2312"/>
                <w:kern w:val="0"/>
                <w:sz w:val="22"/>
                <w:szCs w:val="22"/>
              </w:rPr>
              <w:t>15000</w:t>
            </w:r>
            <w:r>
              <w:rPr>
                <w:rFonts w:ascii="仿宋_GB2312" w:eastAsia="仿宋_GB2312" w:hAnsi="宋体" w:cs="仿宋_GB2312" w:hint="eastAsia"/>
                <w:kern w:val="0"/>
                <w:sz w:val="22"/>
                <w:szCs w:val="22"/>
              </w:rPr>
              <w:t>平方米</w:t>
            </w:r>
          </w:p>
        </w:tc>
        <w:tc>
          <w:tcPr>
            <w:tcW w:w="1000"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8000</w:t>
            </w:r>
          </w:p>
        </w:tc>
        <w:tc>
          <w:tcPr>
            <w:tcW w:w="945"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民办民营混合经济</w:t>
            </w:r>
          </w:p>
        </w:tc>
        <w:tc>
          <w:tcPr>
            <w:tcW w:w="1706"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前期规划</w:t>
            </w:r>
          </w:p>
        </w:tc>
        <w:tc>
          <w:tcPr>
            <w:tcW w:w="945"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single" w:sz="4" w:space="0" w:color="auto"/>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2016-2018</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17</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青田东部医院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青田温溪镇</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新建门诊楼、住院楼、医技楼、宿舍楼，以及附属配套设施设备等。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民办民营、混合经济</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前期规划</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2016-2018</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18</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青田残疾人康复中心</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青田鹤城街道</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脑瘫儿童康复以及全科门诊</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民办民营、混合经济</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前期规划</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2016-2018</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lastRenderedPageBreak/>
              <w:t>19</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青田中部医院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青田船寮镇</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规划用地</w:t>
            </w:r>
            <w:r>
              <w:rPr>
                <w:rFonts w:ascii="仿宋_GB2312" w:eastAsia="仿宋_GB2312" w:hAnsi="宋体" w:cs="仿宋_GB2312"/>
                <w:kern w:val="0"/>
                <w:sz w:val="22"/>
                <w:szCs w:val="22"/>
              </w:rPr>
              <w:t>20</w:t>
            </w:r>
            <w:r>
              <w:rPr>
                <w:rFonts w:ascii="仿宋_GB2312" w:eastAsia="仿宋_GB2312" w:hAnsi="宋体" w:cs="仿宋_GB2312" w:hint="eastAsia"/>
                <w:kern w:val="0"/>
                <w:sz w:val="22"/>
                <w:szCs w:val="22"/>
              </w:rPr>
              <w:t>亩，建筑面积</w:t>
            </w:r>
            <w:r>
              <w:rPr>
                <w:rFonts w:ascii="仿宋_GB2312" w:eastAsia="仿宋_GB2312" w:hAnsi="宋体" w:cs="仿宋_GB2312"/>
                <w:kern w:val="0"/>
                <w:sz w:val="22"/>
                <w:szCs w:val="22"/>
              </w:rPr>
              <w:t>15000</w:t>
            </w:r>
            <w:r>
              <w:rPr>
                <w:rFonts w:ascii="宋体" w:hAnsi="宋体" w:cs="宋体" w:hint="eastAsia"/>
                <w:kern w:val="0"/>
                <w:sz w:val="22"/>
                <w:szCs w:val="22"/>
              </w:rPr>
              <w:t>㎡</w:t>
            </w:r>
            <w:r>
              <w:rPr>
                <w:rFonts w:ascii="仿宋_GB2312" w:eastAsia="仿宋_GB2312" w:hAnsi="仿宋_GB2312" w:cs="仿宋_GB2312" w:hint="eastAsia"/>
                <w:kern w:val="0"/>
                <w:sz w:val="22"/>
                <w:szCs w:val="22"/>
              </w:rPr>
              <w:t>。新建门诊楼、住院楼、医技楼、宿舍楼及附属配套设施设备等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民办民营、混合经济</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前期规划</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2016-2018</w:t>
            </w:r>
          </w:p>
        </w:tc>
      </w:tr>
      <w:tr w:rsidR="00AC2A0C" w:rsidTr="00AC2A0C">
        <w:trPr>
          <w:trHeight w:val="2921"/>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青田千峡湖生态休闲度假区</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青田北山镇泉山村</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将依托独特的山水资源和深厚的文化底蕴，建设集休闲养生、旅游观光、商务会议等功能于一体的国家生态旅游示范区；一期总用地面积</w:t>
            </w:r>
            <w:r>
              <w:rPr>
                <w:rFonts w:ascii="仿宋_GB2312" w:eastAsia="仿宋_GB2312" w:hAnsi="宋体" w:cs="仿宋_GB2312"/>
                <w:kern w:val="0"/>
                <w:sz w:val="22"/>
                <w:szCs w:val="22"/>
              </w:rPr>
              <w:t>530562.1</w:t>
            </w:r>
            <w:r>
              <w:rPr>
                <w:rFonts w:ascii="仿宋_GB2312" w:eastAsia="仿宋_GB2312" w:hAnsi="宋体" w:cs="仿宋_GB2312" w:hint="eastAsia"/>
                <w:kern w:val="0"/>
                <w:sz w:val="22"/>
                <w:szCs w:val="22"/>
              </w:rPr>
              <w:t>平方米，总建筑面积</w:t>
            </w:r>
            <w:r>
              <w:rPr>
                <w:rFonts w:ascii="仿宋_GB2312" w:eastAsia="仿宋_GB2312" w:hAnsi="宋体" w:cs="仿宋_GB2312"/>
                <w:kern w:val="0"/>
                <w:sz w:val="22"/>
                <w:szCs w:val="22"/>
              </w:rPr>
              <w:t>589234.15</w:t>
            </w:r>
            <w:r>
              <w:rPr>
                <w:rFonts w:ascii="仿宋_GB2312" w:eastAsia="仿宋_GB2312" w:hAnsi="宋体" w:cs="仿宋_GB2312" w:hint="eastAsia"/>
                <w:kern w:val="0"/>
                <w:sz w:val="22"/>
                <w:szCs w:val="22"/>
              </w:rPr>
              <w:t>平方米。</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860000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一期土地完成出让，正在修改完善建筑设计方案。</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2014-2030</w:t>
            </w:r>
          </w:p>
        </w:tc>
      </w:tr>
      <w:tr w:rsidR="00AC2A0C" w:rsidTr="00AC2A0C">
        <w:trPr>
          <w:trHeight w:val="189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21</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太阳岛国际养生度假村</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青田山口镇雅陈村</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项目总用地面积</w:t>
            </w:r>
            <w:r>
              <w:rPr>
                <w:rFonts w:ascii="仿宋_GB2312" w:eastAsia="仿宋_GB2312" w:hAnsi="宋体" w:cs="仿宋_GB2312"/>
                <w:kern w:val="0"/>
                <w:sz w:val="22"/>
                <w:szCs w:val="22"/>
              </w:rPr>
              <w:t>19</w:t>
            </w:r>
            <w:r>
              <w:rPr>
                <w:rFonts w:ascii="仿宋_GB2312" w:eastAsia="仿宋_GB2312" w:hAnsi="宋体" w:cs="仿宋_GB2312" w:hint="eastAsia"/>
                <w:kern w:val="0"/>
                <w:sz w:val="22"/>
                <w:szCs w:val="22"/>
              </w:rPr>
              <w:t>万平方米，建筑面积</w:t>
            </w:r>
            <w:r>
              <w:rPr>
                <w:rFonts w:ascii="仿宋_GB2312" w:eastAsia="仿宋_GB2312" w:hAnsi="宋体" w:cs="仿宋_GB2312"/>
                <w:kern w:val="0"/>
                <w:sz w:val="22"/>
                <w:szCs w:val="22"/>
              </w:rPr>
              <w:t>19</w:t>
            </w:r>
            <w:r>
              <w:rPr>
                <w:rFonts w:ascii="仿宋_GB2312" w:eastAsia="仿宋_GB2312" w:hAnsi="宋体" w:cs="仿宋_GB2312" w:hint="eastAsia"/>
                <w:kern w:val="0"/>
                <w:sz w:val="22"/>
                <w:szCs w:val="22"/>
              </w:rPr>
              <w:t>万平方米，建设休闲养生、养老和商业于一体的综合项目。</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80000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基本完成项目修建性详细规划编制，启动项目政策处理。有房产，完成土地报批，目前进行政策处理工作</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与开发商已签订意向协议</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2015-2018</w:t>
            </w:r>
          </w:p>
        </w:tc>
      </w:tr>
      <w:tr w:rsidR="00AC2A0C" w:rsidTr="00AC2A0C">
        <w:trPr>
          <w:trHeight w:val="454"/>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22</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青田侨乡温泉度假村</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青田阜山乡</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总用地面积</w:t>
            </w:r>
            <w:r>
              <w:rPr>
                <w:rFonts w:ascii="仿宋_GB2312" w:eastAsia="仿宋_GB2312" w:hAnsi="宋体" w:cs="仿宋_GB2312"/>
                <w:kern w:val="0"/>
                <w:sz w:val="22"/>
                <w:szCs w:val="22"/>
              </w:rPr>
              <w:t>156000</w:t>
            </w:r>
            <w:r>
              <w:rPr>
                <w:rFonts w:ascii="仿宋_GB2312" w:eastAsia="仿宋_GB2312" w:hAnsi="宋体" w:cs="仿宋_GB2312" w:hint="eastAsia"/>
                <w:kern w:val="0"/>
                <w:sz w:val="22"/>
                <w:szCs w:val="22"/>
              </w:rPr>
              <w:t>平方米，主要包括温泉主题酒店、温泉养生会所、会务中心、商务中心、商业地产等，以及给排水、道路、环卫等基础设施建设。</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31000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启动编制项目修建性详细规划</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2016-2018</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lastRenderedPageBreak/>
              <w:t>23</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青田县石溪乡生态养老基地项目</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青田石溪乡</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规划总面积</w:t>
            </w:r>
            <w:r>
              <w:rPr>
                <w:rFonts w:ascii="仿宋_GB2312" w:eastAsia="仿宋_GB2312" w:hAnsi="宋体" w:cs="仿宋_GB2312"/>
                <w:kern w:val="0"/>
                <w:sz w:val="22"/>
                <w:szCs w:val="22"/>
              </w:rPr>
              <w:t>300</w:t>
            </w:r>
            <w:r>
              <w:rPr>
                <w:rFonts w:ascii="仿宋_GB2312" w:eastAsia="仿宋_GB2312" w:hAnsi="宋体" w:cs="仿宋_GB2312" w:hint="eastAsia"/>
                <w:kern w:val="0"/>
                <w:sz w:val="22"/>
                <w:szCs w:val="22"/>
              </w:rPr>
              <w:t>亩，集休闲、养生、养老等综合服务设施于一体的综合体。</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60000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前期规划</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2016-2020</w:t>
            </w:r>
          </w:p>
        </w:tc>
      </w:tr>
      <w:tr w:rsidR="00AC2A0C" w:rsidTr="00AC2A0C">
        <w:trPr>
          <w:trHeight w:val="135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24</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青田县仁庄休闲养生度假区</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青田仁庄镇</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用地面积</w:t>
            </w:r>
            <w:r>
              <w:rPr>
                <w:rFonts w:ascii="仿宋_GB2312" w:eastAsia="仿宋_GB2312" w:hAnsi="宋体" w:cs="仿宋_GB2312"/>
                <w:kern w:val="0"/>
                <w:sz w:val="22"/>
                <w:szCs w:val="22"/>
              </w:rPr>
              <w:t>274.91</w:t>
            </w:r>
            <w:r>
              <w:rPr>
                <w:rFonts w:ascii="仿宋_GB2312" w:eastAsia="仿宋_GB2312" w:hAnsi="宋体" w:cs="仿宋_GB2312" w:hint="eastAsia"/>
                <w:kern w:val="0"/>
                <w:sz w:val="22"/>
                <w:szCs w:val="22"/>
              </w:rPr>
              <w:t>亩，建筑面积</w:t>
            </w:r>
            <w:r>
              <w:rPr>
                <w:rFonts w:ascii="仿宋_GB2312" w:eastAsia="仿宋_GB2312" w:hAnsi="宋体" w:cs="仿宋_GB2312"/>
                <w:kern w:val="0"/>
                <w:sz w:val="22"/>
                <w:szCs w:val="22"/>
              </w:rPr>
              <w:t>223725</w:t>
            </w:r>
            <w:r>
              <w:rPr>
                <w:rFonts w:ascii="仿宋_GB2312" w:eastAsia="仿宋_GB2312" w:hAnsi="宋体" w:cs="仿宋_GB2312" w:hint="eastAsia"/>
                <w:kern w:val="0"/>
                <w:sz w:val="22"/>
                <w:szCs w:val="22"/>
              </w:rPr>
              <w:t>平方米，主要包括高层、多层公寓、会所以及防洪堤、桥梁、隧道等配套工程建设。</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110000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前期规划</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 xml:space="preserve">　</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2016-2018</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25</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云和县康复医院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云和县</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医疗用房，建筑面积</w:t>
            </w:r>
            <w:r>
              <w:rPr>
                <w:rFonts w:ascii="仿宋_GB2312" w:eastAsia="仿宋_GB2312" w:hAnsi="宋体" w:cs="仿宋_GB2312"/>
                <w:kern w:val="0"/>
                <w:sz w:val="22"/>
                <w:szCs w:val="22"/>
              </w:rPr>
              <w:t>3</w:t>
            </w:r>
            <w:r>
              <w:rPr>
                <w:rFonts w:ascii="仿宋_GB2312" w:eastAsia="仿宋_GB2312" w:hAnsi="宋体" w:cs="仿宋_GB2312" w:hint="eastAsia"/>
                <w:kern w:val="0"/>
                <w:sz w:val="22"/>
                <w:szCs w:val="22"/>
              </w:rPr>
              <w:t>万平方米，病床</w:t>
            </w:r>
            <w:r>
              <w:rPr>
                <w:rFonts w:ascii="仿宋_GB2312" w:eastAsia="仿宋_GB2312" w:hAnsi="宋体" w:cs="仿宋_GB2312"/>
                <w:kern w:val="0"/>
                <w:sz w:val="22"/>
                <w:szCs w:val="22"/>
              </w:rPr>
              <w:t>300</w:t>
            </w:r>
            <w:r>
              <w:rPr>
                <w:rFonts w:ascii="仿宋_GB2312" w:eastAsia="仿宋_GB2312" w:hAnsi="宋体" w:cs="仿宋_GB2312" w:hint="eastAsia"/>
                <w:kern w:val="0"/>
                <w:sz w:val="22"/>
                <w:szCs w:val="22"/>
              </w:rPr>
              <w:t>张。</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招商引资</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对接洽谈</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2015-2018</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26</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云和民办综合医院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云和县</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医院建成后设置床位</w:t>
            </w:r>
            <w:r>
              <w:rPr>
                <w:rFonts w:ascii="仿宋_GB2312" w:eastAsia="仿宋_GB2312" w:hAnsi="宋体" w:cs="仿宋_GB2312"/>
                <w:kern w:val="0"/>
                <w:sz w:val="22"/>
                <w:szCs w:val="22"/>
              </w:rPr>
              <w:t>50</w:t>
            </w:r>
            <w:r>
              <w:rPr>
                <w:rFonts w:ascii="仿宋_GB2312" w:eastAsia="仿宋_GB2312" w:hAnsi="宋体" w:cs="仿宋_GB2312" w:hint="eastAsia"/>
                <w:kern w:val="0"/>
                <w:sz w:val="22"/>
                <w:szCs w:val="22"/>
              </w:rPr>
              <w:t>张（一期建设</w:t>
            </w:r>
            <w:r>
              <w:rPr>
                <w:rFonts w:ascii="仿宋_GB2312" w:eastAsia="仿宋_GB2312" w:hAnsi="宋体" w:cs="仿宋_GB2312"/>
                <w:kern w:val="0"/>
                <w:sz w:val="22"/>
                <w:szCs w:val="22"/>
              </w:rPr>
              <w:t>30</w:t>
            </w:r>
            <w:r>
              <w:rPr>
                <w:rFonts w:ascii="仿宋_GB2312" w:eastAsia="仿宋_GB2312" w:hAnsi="宋体" w:cs="仿宋_GB2312" w:hint="eastAsia"/>
                <w:kern w:val="0"/>
                <w:sz w:val="22"/>
                <w:szCs w:val="22"/>
              </w:rPr>
              <w:t>张，二期建设</w:t>
            </w:r>
            <w:r>
              <w:rPr>
                <w:rFonts w:ascii="仿宋_GB2312" w:eastAsia="仿宋_GB2312" w:hAnsi="宋体" w:cs="仿宋_GB2312"/>
                <w:kern w:val="0"/>
                <w:sz w:val="22"/>
                <w:szCs w:val="22"/>
              </w:rPr>
              <w:t>20</w:t>
            </w:r>
            <w:r>
              <w:rPr>
                <w:rFonts w:ascii="仿宋_GB2312" w:eastAsia="仿宋_GB2312" w:hAnsi="宋体" w:cs="仿宋_GB2312" w:hint="eastAsia"/>
                <w:kern w:val="0"/>
                <w:sz w:val="22"/>
                <w:szCs w:val="22"/>
              </w:rPr>
              <w:t>张）。</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5000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招商引资</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对接洽谈</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2015-2017</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27</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中国云和国际生态养生文化村</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云和县</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项目总用地约</w:t>
            </w:r>
            <w:r>
              <w:rPr>
                <w:rFonts w:ascii="仿宋_GB2312" w:eastAsia="仿宋_GB2312" w:hAnsi="宋体" w:cs="仿宋_GB2312"/>
                <w:kern w:val="0"/>
                <w:sz w:val="22"/>
                <w:szCs w:val="22"/>
              </w:rPr>
              <w:t>211</w:t>
            </w:r>
            <w:r>
              <w:rPr>
                <w:rFonts w:ascii="仿宋_GB2312" w:eastAsia="仿宋_GB2312" w:hAnsi="宋体" w:cs="仿宋_GB2312" w:hint="eastAsia"/>
                <w:kern w:val="0"/>
                <w:sz w:val="22"/>
                <w:szCs w:val="22"/>
              </w:rPr>
              <w:t>亩，建设星级酒店、会议中心、养老公寓，配套医护、保健及金领会所等。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51650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开工建设</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完成</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2014-2017</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28</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云和湖三江口休闲养生度假区</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云和县</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规划面积</w:t>
            </w:r>
            <w:r>
              <w:rPr>
                <w:rFonts w:ascii="仿宋_GB2312" w:eastAsia="仿宋_GB2312" w:hAnsi="宋体" w:cs="仿宋_GB2312"/>
                <w:kern w:val="0"/>
                <w:sz w:val="22"/>
                <w:szCs w:val="22"/>
              </w:rPr>
              <w:t>1000</w:t>
            </w:r>
            <w:r>
              <w:rPr>
                <w:rFonts w:ascii="仿宋_GB2312" w:eastAsia="仿宋_GB2312" w:hAnsi="宋体" w:cs="仿宋_GB2312" w:hint="eastAsia"/>
                <w:kern w:val="0"/>
                <w:sz w:val="22"/>
                <w:szCs w:val="22"/>
              </w:rPr>
              <w:t>亩，主要有原浙南制药厂区块、局村、三潭村等区块，建设云和湖游客集散中心。</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招商引资</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谋划推介</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2016-20</w:t>
            </w:r>
            <w:r>
              <w:rPr>
                <w:rFonts w:ascii="宋体" w:hAnsi="宋体" w:cs="宋体"/>
                <w:kern w:val="0"/>
                <w:sz w:val="24"/>
                <w:szCs w:val="24"/>
              </w:rPr>
              <w:t>20</w:t>
            </w:r>
          </w:p>
        </w:tc>
      </w:tr>
      <w:tr w:rsidR="00AC2A0C" w:rsidTr="00AC2A0C">
        <w:trPr>
          <w:trHeight w:val="135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29</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庆元大洋湖生态养生（养老）休闲旅游度假区</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庆元县巾子峰大洋区块</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总用地面积约</w:t>
            </w:r>
            <w:r>
              <w:rPr>
                <w:rFonts w:ascii="仿宋_GB2312" w:eastAsia="仿宋_GB2312" w:hAnsi="宋体" w:cs="仿宋_GB2312"/>
                <w:kern w:val="0"/>
                <w:sz w:val="22"/>
                <w:szCs w:val="22"/>
              </w:rPr>
              <w:t>180</w:t>
            </w:r>
            <w:r>
              <w:rPr>
                <w:rFonts w:ascii="仿宋_GB2312" w:eastAsia="仿宋_GB2312" w:hAnsi="宋体" w:cs="仿宋_GB2312" w:hint="eastAsia"/>
                <w:kern w:val="0"/>
                <w:sz w:val="22"/>
                <w:szCs w:val="22"/>
              </w:rPr>
              <w:t>亩，主要建设养生研究中心、生态餐厅、温泉养生区、养生保健区、国际疗养院、养老公寓等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60000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前期规划文本编制中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投资洽谈中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2017-2020</w:t>
            </w:r>
          </w:p>
        </w:tc>
      </w:tr>
      <w:tr w:rsidR="00AC2A0C" w:rsidTr="00AC2A0C">
        <w:trPr>
          <w:trHeight w:val="135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lastRenderedPageBreak/>
              <w:t>30</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庆元国际养生健康城</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庆元县屏都综合新区</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占地</w:t>
            </w:r>
            <w:r>
              <w:rPr>
                <w:rFonts w:ascii="仿宋_GB2312" w:eastAsia="仿宋_GB2312" w:hAnsi="宋体" w:cs="仿宋_GB2312"/>
                <w:kern w:val="0"/>
                <w:sz w:val="22"/>
                <w:szCs w:val="22"/>
              </w:rPr>
              <w:t>300</w:t>
            </w:r>
            <w:r>
              <w:rPr>
                <w:rFonts w:ascii="仿宋_GB2312" w:eastAsia="仿宋_GB2312" w:hAnsi="宋体" w:cs="仿宋_GB2312" w:hint="eastAsia"/>
                <w:kern w:val="0"/>
                <w:sz w:val="22"/>
                <w:szCs w:val="22"/>
              </w:rPr>
              <w:t>亩，总建筑面积</w:t>
            </w:r>
            <w:r>
              <w:rPr>
                <w:rFonts w:ascii="仿宋_GB2312" w:eastAsia="仿宋_GB2312" w:hAnsi="宋体" w:cs="仿宋_GB2312"/>
                <w:kern w:val="0"/>
                <w:sz w:val="22"/>
                <w:szCs w:val="22"/>
              </w:rPr>
              <w:t>23.8</w:t>
            </w:r>
            <w:r>
              <w:rPr>
                <w:rFonts w:ascii="仿宋_GB2312" w:eastAsia="仿宋_GB2312" w:hAnsi="宋体" w:cs="仿宋_GB2312" w:hint="eastAsia"/>
                <w:kern w:val="0"/>
                <w:sz w:val="22"/>
                <w:szCs w:val="22"/>
              </w:rPr>
              <w:t>万平方米，规划建设</w:t>
            </w:r>
            <w:r>
              <w:rPr>
                <w:rFonts w:ascii="仿宋_GB2312" w:eastAsia="仿宋_GB2312" w:hAnsi="宋体" w:cs="仿宋_GB2312"/>
                <w:kern w:val="0"/>
                <w:sz w:val="22"/>
                <w:szCs w:val="22"/>
              </w:rPr>
              <w:t>1</w:t>
            </w:r>
            <w:r>
              <w:rPr>
                <w:rFonts w:ascii="仿宋_GB2312" w:eastAsia="仿宋_GB2312" w:hAnsi="宋体" w:cs="仿宋_GB2312" w:hint="eastAsia"/>
                <w:kern w:val="0"/>
                <w:sz w:val="22"/>
                <w:szCs w:val="22"/>
              </w:rPr>
              <w:t>所三级乙等医院，养老公寓、养老联排别墅、养老独墅，综合配套设施等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167240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方案设计中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投资洽谈中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2015-2018</w:t>
            </w:r>
          </w:p>
        </w:tc>
      </w:tr>
      <w:tr w:rsidR="00AC2A0C" w:rsidTr="00AC2A0C">
        <w:trPr>
          <w:trHeight w:val="81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31</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缙云田氏伤科医院扩建项目</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缙云县东方镇</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住院病房楼</w:t>
            </w:r>
            <w:r>
              <w:rPr>
                <w:rFonts w:ascii="仿宋_GB2312" w:eastAsia="仿宋_GB2312" w:hAnsi="宋体" w:cs="仿宋_GB2312"/>
                <w:kern w:val="0"/>
                <w:sz w:val="22"/>
                <w:szCs w:val="22"/>
              </w:rPr>
              <w:t>24500</w:t>
            </w:r>
            <w:r>
              <w:rPr>
                <w:rFonts w:ascii="仿宋_GB2312" w:eastAsia="仿宋_GB2312" w:hAnsi="宋体" w:cs="仿宋_GB2312" w:hint="eastAsia"/>
                <w:kern w:val="0"/>
                <w:sz w:val="22"/>
                <w:szCs w:val="22"/>
              </w:rPr>
              <w:t>平方米，专家公寓</w:t>
            </w:r>
            <w:r>
              <w:rPr>
                <w:rFonts w:ascii="仿宋_GB2312" w:eastAsia="仿宋_GB2312" w:hAnsi="宋体" w:cs="仿宋_GB2312"/>
                <w:kern w:val="0"/>
                <w:sz w:val="22"/>
                <w:szCs w:val="22"/>
              </w:rPr>
              <w:t>23900</w:t>
            </w:r>
            <w:r>
              <w:rPr>
                <w:rFonts w:ascii="仿宋_GB2312" w:eastAsia="仿宋_GB2312" w:hAnsi="宋体" w:cs="仿宋_GB2312" w:hint="eastAsia"/>
                <w:kern w:val="0"/>
                <w:sz w:val="22"/>
                <w:szCs w:val="22"/>
              </w:rPr>
              <w:t>平方米。</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15000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已办理农用地转用审批手续，处土地征收阶段</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正在洽谈</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2015-2017</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32</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缙云县钭氏伤科医院扩建</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缙云县新碧街道</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总建筑面积</w:t>
            </w:r>
            <w:r>
              <w:rPr>
                <w:rFonts w:ascii="仿宋_GB2312" w:eastAsia="仿宋_GB2312" w:hAnsi="宋体" w:cs="仿宋_GB2312"/>
                <w:kern w:val="0"/>
                <w:sz w:val="22"/>
                <w:szCs w:val="22"/>
              </w:rPr>
              <w:t>14000</w:t>
            </w:r>
            <w:r>
              <w:rPr>
                <w:rFonts w:ascii="仿宋_GB2312" w:eastAsia="仿宋_GB2312" w:hAnsi="宋体" w:cs="仿宋_GB2312" w:hint="eastAsia"/>
                <w:kern w:val="0"/>
                <w:sz w:val="22"/>
                <w:szCs w:val="22"/>
              </w:rPr>
              <w:t>平方米，其中住院楼面积</w:t>
            </w:r>
            <w:r>
              <w:rPr>
                <w:rFonts w:ascii="仿宋_GB2312" w:eastAsia="仿宋_GB2312" w:hAnsi="宋体" w:cs="仿宋_GB2312"/>
                <w:kern w:val="0"/>
                <w:sz w:val="22"/>
                <w:szCs w:val="22"/>
              </w:rPr>
              <w:t>12000</w:t>
            </w:r>
            <w:r>
              <w:rPr>
                <w:rFonts w:ascii="仿宋_GB2312" w:eastAsia="仿宋_GB2312" w:hAnsi="宋体" w:cs="仿宋_GB2312" w:hint="eastAsia"/>
                <w:kern w:val="0"/>
                <w:sz w:val="22"/>
                <w:szCs w:val="22"/>
              </w:rPr>
              <w:t>平方米，综合楼面积</w:t>
            </w:r>
            <w:r>
              <w:rPr>
                <w:rFonts w:ascii="仿宋_GB2312" w:eastAsia="仿宋_GB2312" w:hAnsi="宋体" w:cs="仿宋_GB2312"/>
                <w:kern w:val="0"/>
                <w:sz w:val="22"/>
                <w:szCs w:val="22"/>
              </w:rPr>
              <w:t>2000</w:t>
            </w:r>
            <w:r>
              <w:rPr>
                <w:rFonts w:ascii="仿宋_GB2312" w:eastAsia="仿宋_GB2312" w:hAnsi="宋体" w:cs="仿宋_GB2312" w:hint="eastAsia"/>
                <w:kern w:val="0"/>
                <w:sz w:val="22"/>
                <w:szCs w:val="22"/>
              </w:rPr>
              <w:t>平方米。</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6000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已办理核准项目服务联系单，尚未办理项目选址意见书。</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2015-2016</w:t>
            </w:r>
          </w:p>
        </w:tc>
      </w:tr>
      <w:tr w:rsidR="00AC2A0C" w:rsidTr="00AC2A0C">
        <w:trPr>
          <w:trHeight w:val="135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33</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中华黄帝文化养生城（仙都温泉谷旅游综合体）</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缙云县五云街道周村区块</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总用地</w:t>
            </w:r>
            <w:r>
              <w:rPr>
                <w:rFonts w:ascii="仿宋_GB2312" w:eastAsia="仿宋_GB2312" w:hAnsi="宋体" w:cs="仿宋_GB2312"/>
                <w:kern w:val="0"/>
                <w:sz w:val="22"/>
                <w:szCs w:val="22"/>
              </w:rPr>
              <w:t>1020</w:t>
            </w:r>
            <w:r>
              <w:rPr>
                <w:rFonts w:ascii="仿宋_GB2312" w:eastAsia="仿宋_GB2312" w:hAnsi="宋体" w:cs="仿宋_GB2312" w:hint="eastAsia"/>
                <w:kern w:val="0"/>
                <w:sz w:val="22"/>
                <w:szCs w:val="22"/>
              </w:rPr>
              <w:t>亩，建设</w:t>
            </w:r>
            <w:r>
              <w:rPr>
                <w:rFonts w:ascii="仿宋_GB2312" w:eastAsia="仿宋_GB2312" w:hAnsi="宋体" w:cs="仿宋_GB2312"/>
                <w:kern w:val="0"/>
                <w:sz w:val="22"/>
                <w:szCs w:val="22"/>
              </w:rPr>
              <w:t>400</w:t>
            </w:r>
            <w:r>
              <w:rPr>
                <w:rFonts w:ascii="仿宋_GB2312" w:eastAsia="仿宋_GB2312" w:hAnsi="宋体" w:cs="仿宋_GB2312" w:hint="eastAsia"/>
                <w:kern w:val="0"/>
                <w:sz w:val="22"/>
                <w:szCs w:val="22"/>
              </w:rPr>
              <w:t>个房间的五星级酒店、</w:t>
            </w:r>
            <w:r>
              <w:rPr>
                <w:rFonts w:ascii="仿宋_GB2312" w:eastAsia="仿宋_GB2312" w:hAnsi="宋体" w:cs="仿宋_GB2312"/>
                <w:kern w:val="0"/>
                <w:sz w:val="22"/>
                <w:szCs w:val="22"/>
              </w:rPr>
              <w:t>400000</w:t>
            </w:r>
            <w:r>
              <w:rPr>
                <w:rFonts w:ascii="仿宋_GB2312" w:eastAsia="仿宋_GB2312" w:hAnsi="宋体" w:cs="仿宋_GB2312" w:hint="eastAsia"/>
                <w:kern w:val="0"/>
                <w:sz w:val="22"/>
                <w:szCs w:val="22"/>
              </w:rPr>
              <w:t>平方米的温泉度假区及景观房产。</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400000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详规已经城市规划委员会评审，项目用地范围青苗基本清点完毕。</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已签约</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2015-2018</w:t>
            </w:r>
          </w:p>
        </w:tc>
      </w:tr>
      <w:tr w:rsidR="00AC2A0C" w:rsidTr="00AC2A0C">
        <w:trPr>
          <w:trHeight w:val="162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34</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缙云晨龙太空城（中国太空农业休闲养生园）</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缙云县壶镇镇坑沿村</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总占地位</w:t>
            </w:r>
            <w:r>
              <w:rPr>
                <w:rFonts w:ascii="仿宋_GB2312" w:eastAsia="仿宋_GB2312" w:hAnsi="宋体" w:cs="仿宋_GB2312"/>
                <w:kern w:val="0"/>
                <w:sz w:val="22"/>
                <w:szCs w:val="22"/>
              </w:rPr>
              <w:t>854</w:t>
            </w:r>
            <w:r>
              <w:rPr>
                <w:rFonts w:ascii="仿宋_GB2312" w:eastAsia="仿宋_GB2312" w:hAnsi="宋体" w:cs="仿宋_GB2312" w:hint="eastAsia"/>
                <w:kern w:val="0"/>
                <w:sz w:val="22"/>
                <w:szCs w:val="22"/>
              </w:rPr>
              <w:t>亩，其中建设用地</w:t>
            </w:r>
            <w:r>
              <w:rPr>
                <w:rFonts w:ascii="仿宋_GB2312" w:eastAsia="仿宋_GB2312" w:hAnsi="宋体" w:cs="仿宋_GB2312"/>
                <w:kern w:val="0"/>
                <w:sz w:val="22"/>
                <w:szCs w:val="22"/>
              </w:rPr>
              <w:t>465</w:t>
            </w:r>
            <w:r>
              <w:rPr>
                <w:rFonts w:ascii="仿宋_GB2312" w:eastAsia="仿宋_GB2312" w:hAnsi="宋体" w:cs="仿宋_GB2312" w:hint="eastAsia"/>
                <w:kern w:val="0"/>
                <w:sz w:val="22"/>
                <w:szCs w:val="22"/>
              </w:rPr>
              <w:t>亩，主要建设入口服务区、太空观光园、太空运动体验园、太空科普展示馆和四星级酒店。</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已办理农用地转用审批手续，规划已通过城市规划委员会专家评审</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已签意向协议</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2015-2018</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35</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缙云太和生态休闲养生园建设项目</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缙云县七里乡天寿村</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规划面积约</w:t>
            </w:r>
            <w:r>
              <w:rPr>
                <w:rFonts w:ascii="仿宋_GB2312" w:eastAsia="仿宋_GB2312" w:hAnsi="宋体" w:cs="仿宋_GB2312"/>
                <w:kern w:val="0"/>
                <w:sz w:val="22"/>
                <w:szCs w:val="22"/>
              </w:rPr>
              <w:t>4000</w:t>
            </w:r>
            <w:r>
              <w:rPr>
                <w:rFonts w:ascii="仿宋_GB2312" w:eastAsia="仿宋_GB2312" w:hAnsi="宋体" w:cs="仿宋_GB2312" w:hint="eastAsia"/>
                <w:kern w:val="0"/>
                <w:sz w:val="22"/>
                <w:szCs w:val="22"/>
              </w:rPr>
              <w:t>亩，建设休闲养生、观光旅游、有机种植、生态养殖及配套设施建设等。</w:t>
            </w:r>
            <w:r>
              <w:rPr>
                <w:rFonts w:ascii="仿宋_GB2312" w:eastAsia="仿宋_GB2312" w:hAnsi="宋体" w:cs="Times New Roman"/>
                <w:kern w:val="0"/>
                <w:sz w:val="22"/>
                <w:szCs w:val="22"/>
              </w:rPr>
              <w:t> </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35000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详规在深化完善中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已签意向协议</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2015-2018</w:t>
            </w:r>
          </w:p>
        </w:tc>
      </w:tr>
      <w:tr w:rsidR="00AC2A0C" w:rsidTr="00AC2A0C">
        <w:trPr>
          <w:trHeight w:val="135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lastRenderedPageBreak/>
              <w:t>36</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遂昌县全民健身中心</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遂昌县</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总用地面积</w:t>
            </w:r>
            <w:r>
              <w:rPr>
                <w:rFonts w:ascii="仿宋_GB2312" w:eastAsia="仿宋_GB2312" w:hAnsi="宋体" w:cs="仿宋_GB2312"/>
                <w:kern w:val="0"/>
                <w:sz w:val="22"/>
                <w:szCs w:val="22"/>
              </w:rPr>
              <w:t>33094</w:t>
            </w:r>
            <w:r>
              <w:rPr>
                <w:rFonts w:ascii="仿宋_GB2312" w:eastAsia="仿宋_GB2312" w:hAnsi="宋体" w:cs="仿宋_GB2312" w:hint="eastAsia"/>
                <w:kern w:val="0"/>
                <w:sz w:val="22"/>
                <w:szCs w:val="22"/>
              </w:rPr>
              <w:t>平方米，建筑面积</w:t>
            </w:r>
            <w:r>
              <w:rPr>
                <w:rFonts w:ascii="仿宋_GB2312" w:eastAsia="仿宋_GB2312" w:hAnsi="宋体" w:cs="仿宋_GB2312"/>
                <w:kern w:val="0"/>
                <w:sz w:val="22"/>
                <w:szCs w:val="22"/>
              </w:rPr>
              <w:t>39809</w:t>
            </w:r>
            <w:r>
              <w:rPr>
                <w:rFonts w:ascii="仿宋_GB2312" w:eastAsia="仿宋_GB2312" w:hAnsi="宋体" w:cs="仿宋_GB2312" w:hint="eastAsia"/>
                <w:kern w:val="0"/>
                <w:sz w:val="22"/>
                <w:szCs w:val="22"/>
              </w:rPr>
              <w:t>平方米，主要建设体育场及体育配套用房、商业用房、训练馆</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27500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民建公营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实施中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已完成</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2013-2015</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37</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遂昌县康复医院建设工程</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遂昌县</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用地面积</w:t>
            </w:r>
            <w:r>
              <w:rPr>
                <w:rFonts w:ascii="仿宋_GB2312" w:eastAsia="仿宋_GB2312" w:hAnsi="宋体" w:cs="仿宋_GB2312"/>
                <w:kern w:val="0"/>
                <w:sz w:val="22"/>
                <w:szCs w:val="22"/>
              </w:rPr>
              <w:t>19725</w:t>
            </w:r>
            <w:r>
              <w:rPr>
                <w:rFonts w:ascii="仿宋_GB2312" w:eastAsia="仿宋_GB2312" w:hAnsi="宋体" w:cs="仿宋_GB2312" w:hint="eastAsia"/>
                <w:kern w:val="0"/>
                <w:sz w:val="22"/>
                <w:szCs w:val="22"/>
              </w:rPr>
              <w:t>平方米，建筑面积</w:t>
            </w:r>
            <w:r>
              <w:rPr>
                <w:rFonts w:ascii="仿宋_GB2312" w:eastAsia="仿宋_GB2312" w:hAnsi="宋体" w:cs="仿宋_GB2312"/>
                <w:kern w:val="0"/>
                <w:sz w:val="22"/>
                <w:szCs w:val="22"/>
              </w:rPr>
              <w:t>315560</w:t>
            </w:r>
            <w:r>
              <w:rPr>
                <w:rFonts w:ascii="仿宋_GB2312" w:eastAsia="仿宋_GB2312" w:hAnsi="宋体" w:cs="仿宋_GB2312" w:hint="eastAsia"/>
                <w:kern w:val="0"/>
                <w:sz w:val="22"/>
                <w:szCs w:val="22"/>
              </w:rPr>
              <w:t>平方米，按二甲医院标准建设门诊、住院及附属楼</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实施中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已完成</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2014-2016</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38</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遂昌县金太阳养老基地项目</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遂昌县</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规划用地面积约</w:t>
            </w:r>
            <w:r>
              <w:rPr>
                <w:rFonts w:ascii="仿宋_GB2312" w:eastAsia="仿宋_GB2312" w:hAnsi="宋体" w:cs="仿宋_GB2312"/>
                <w:kern w:val="0"/>
                <w:sz w:val="22"/>
                <w:szCs w:val="22"/>
              </w:rPr>
              <w:t>120</w:t>
            </w:r>
            <w:r>
              <w:rPr>
                <w:rFonts w:ascii="仿宋_GB2312" w:eastAsia="仿宋_GB2312" w:hAnsi="宋体" w:cs="仿宋_GB2312" w:hint="eastAsia"/>
                <w:kern w:val="0"/>
                <w:sz w:val="22"/>
                <w:szCs w:val="22"/>
              </w:rPr>
              <w:t>亩，主要建设以养生、养老、度假为主题的旅游功能设施和配套商业旅游房产等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实施中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已完成</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2014-2016</w:t>
            </w:r>
          </w:p>
        </w:tc>
      </w:tr>
      <w:tr w:rsidR="00AC2A0C" w:rsidTr="00AC2A0C">
        <w:trPr>
          <w:trHeight w:val="162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39</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松阳县栖仙湾休闲养生谷</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规划总用地</w:t>
            </w:r>
            <w:r>
              <w:rPr>
                <w:rFonts w:ascii="仿宋_GB2312" w:eastAsia="仿宋_GB2312" w:hAnsi="宋体" w:cs="仿宋_GB2312"/>
                <w:kern w:val="0"/>
                <w:sz w:val="22"/>
                <w:szCs w:val="22"/>
              </w:rPr>
              <w:t>2000</w:t>
            </w:r>
            <w:r>
              <w:rPr>
                <w:rFonts w:ascii="仿宋_GB2312" w:eastAsia="仿宋_GB2312" w:hAnsi="宋体" w:cs="仿宋_GB2312" w:hint="eastAsia"/>
                <w:kern w:val="0"/>
                <w:sz w:val="22"/>
                <w:szCs w:val="22"/>
              </w:rPr>
              <w:t>亩，其中建设用地约</w:t>
            </w:r>
            <w:r>
              <w:rPr>
                <w:rFonts w:ascii="仿宋_GB2312" w:eastAsia="仿宋_GB2312" w:hAnsi="宋体" w:cs="仿宋_GB2312"/>
                <w:kern w:val="0"/>
                <w:sz w:val="22"/>
                <w:szCs w:val="22"/>
              </w:rPr>
              <w:t>535</w:t>
            </w:r>
            <w:r>
              <w:rPr>
                <w:rFonts w:ascii="仿宋_GB2312" w:eastAsia="仿宋_GB2312" w:hAnsi="宋体" w:cs="仿宋_GB2312" w:hint="eastAsia"/>
                <w:kern w:val="0"/>
                <w:sz w:val="22"/>
                <w:szCs w:val="22"/>
              </w:rPr>
              <w:t>亩，建设集“休闲度假功能组团、养老居住功能组团、健康疗养功能组团”为一体的养生养老休闲度假基地。</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250000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已和中新房江域控股有限公司签订投资框架协议</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招商推介中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2015-2025</w:t>
            </w:r>
          </w:p>
        </w:tc>
      </w:tr>
      <w:tr w:rsidR="00AC2A0C" w:rsidTr="00AC2A0C">
        <w:trPr>
          <w:trHeight w:val="189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40</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松阳卯山道教养生养老小镇</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项目位于古市镇，规划</w:t>
            </w:r>
            <w:r>
              <w:rPr>
                <w:rFonts w:ascii="仿宋_GB2312" w:eastAsia="仿宋_GB2312" w:hAnsi="宋体" w:cs="仿宋_GB2312"/>
                <w:kern w:val="0"/>
                <w:sz w:val="22"/>
                <w:szCs w:val="22"/>
              </w:rPr>
              <w:t>4500</w:t>
            </w:r>
            <w:r>
              <w:rPr>
                <w:rFonts w:ascii="仿宋_GB2312" w:eastAsia="仿宋_GB2312" w:hAnsi="宋体" w:cs="仿宋_GB2312" w:hint="eastAsia"/>
                <w:kern w:val="0"/>
                <w:sz w:val="22"/>
                <w:szCs w:val="22"/>
              </w:rPr>
              <w:t>亩，打造“一心一轴两廊六区”，建设养生养老产业区、旅游度假服务区、田园观光区、卯山道教文化区、养生文化商业区、农产品种植体验区</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300000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完成规划方案编制</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招商推介中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2013-2030</w:t>
            </w:r>
          </w:p>
        </w:tc>
      </w:tr>
      <w:tr w:rsidR="00AC2A0C" w:rsidTr="00AC2A0C">
        <w:trPr>
          <w:trHeight w:val="216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lastRenderedPageBreak/>
              <w:t>41</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松阳县中医文化养生养老基地</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总用地</w:t>
            </w:r>
            <w:r>
              <w:rPr>
                <w:rFonts w:ascii="仿宋_GB2312" w:eastAsia="仿宋_GB2312" w:hAnsi="宋体" w:cs="仿宋_GB2312"/>
                <w:kern w:val="0"/>
                <w:sz w:val="22"/>
                <w:szCs w:val="22"/>
              </w:rPr>
              <w:t>220</w:t>
            </w:r>
            <w:r>
              <w:rPr>
                <w:rFonts w:ascii="仿宋_GB2312" w:eastAsia="仿宋_GB2312" w:hAnsi="宋体" w:cs="仿宋_GB2312" w:hint="eastAsia"/>
                <w:kern w:val="0"/>
                <w:sz w:val="22"/>
                <w:szCs w:val="22"/>
              </w:rPr>
              <w:t>亩，建设用地</w:t>
            </w:r>
            <w:r>
              <w:rPr>
                <w:rFonts w:ascii="仿宋_GB2312" w:eastAsia="仿宋_GB2312" w:hAnsi="宋体" w:cs="仿宋_GB2312"/>
                <w:kern w:val="0"/>
                <w:sz w:val="22"/>
                <w:szCs w:val="22"/>
              </w:rPr>
              <w:t>16</w:t>
            </w:r>
            <w:r>
              <w:rPr>
                <w:rFonts w:ascii="仿宋_GB2312" w:eastAsia="仿宋_GB2312" w:hAnsi="宋体" w:cs="仿宋_GB2312" w:hint="eastAsia"/>
                <w:kern w:val="0"/>
                <w:sz w:val="22"/>
                <w:szCs w:val="22"/>
              </w:rPr>
              <w:t>亩</w:t>
            </w: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主要包括中药材种植区、养生养老功能区、中医医疗保健区、宗教文化体验区、水果采摘园、乡村农家乐综合区、生态养生产品展示区，接待中心。</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5320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招商推介中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2015-2017</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42</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松阳县浪漫樱花休闲养生基地</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主要建设农事体验观光区、油茶文化区、养生养老服务区、绘画写生区、激情漂流体验区。</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10000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招商推介中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2015-2017</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43</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松阳县福寿生态养生（养老）休闲农庄</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主要建设养老公寓、接待中心、配套建设养老服务设施。</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8000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招商推介中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2015-2017</w:t>
            </w:r>
          </w:p>
        </w:tc>
      </w:tr>
      <w:tr w:rsidR="00AC2A0C" w:rsidTr="00AC2A0C">
        <w:trPr>
          <w:trHeight w:val="135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44</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松阳县水（药）养项目</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主要建设香薰药浴保健馆、</w:t>
            </w:r>
            <w:r>
              <w:rPr>
                <w:rFonts w:ascii="仿宋_GB2312" w:eastAsia="仿宋_GB2312" w:hAnsi="宋体" w:cs="仿宋_GB2312"/>
                <w:kern w:val="0"/>
                <w:sz w:val="22"/>
                <w:szCs w:val="22"/>
              </w:rPr>
              <w:t>SPA</w:t>
            </w:r>
            <w:r>
              <w:rPr>
                <w:rFonts w:ascii="仿宋_GB2312" w:eastAsia="仿宋_GB2312" w:hAnsi="宋体" w:cs="仿宋_GB2312" w:hint="eastAsia"/>
                <w:kern w:val="0"/>
                <w:sz w:val="22"/>
                <w:szCs w:val="22"/>
              </w:rPr>
              <w:t>水疗馆、足疗保健馆、养生茶馆、风味餐厅、名医坐诊堂和百果（草）园等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5000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规划中</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招商推介中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2016-2017</w:t>
            </w:r>
          </w:p>
        </w:tc>
      </w:tr>
      <w:tr w:rsidR="00AC2A0C" w:rsidTr="00AC2A0C">
        <w:trPr>
          <w:trHeight w:val="270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45</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松阳县寨头摄影休闲园集散中心</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项目建设包括摄影集散场所、摄影创作用房、作品展览用房、国际摄影艺术交流用房、餐饮和住宿生活用房等，以及体育运动区和休闲公园，打造丽水摄影之乡这一品牌。</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8000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混合经济</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基地提升工程已基本完成。着手编选全县摄影创作休闲点（线）；谋划摄影集散中心建设；洽谈旅游民宿项目。</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已完成招商</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2013-2016</w:t>
            </w:r>
          </w:p>
        </w:tc>
      </w:tr>
      <w:tr w:rsidR="00AC2A0C" w:rsidTr="00AC2A0C">
        <w:trPr>
          <w:trHeight w:val="108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lastRenderedPageBreak/>
              <w:t>46</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松阳县体育中心</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松阳</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规划涵盖“两馆一场”：即体育馆、游泳馆、田径场以及室外健身场地、健身广场及配套设施等</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47000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混合经济</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完成规划方案初稿</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招商推介中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2015-2018</w:t>
            </w:r>
          </w:p>
        </w:tc>
      </w:tr>
      <w:tr w:rsidR="00AC2A0C" w:rsidTr="00AC2A0C">
        <w:trPr>
          <w:trHeight w:val="162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47</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景宁县民营医院</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景宁县外舍新区</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用地</w:t>
            </w:r>
            <w:r>
              <w:rPr>
                <w:rFonts w:ascii="仿宋_GB2312" w:eastAsia="仿宋_GB2312" w:hAnsi="宋体" w:cs="仿宋_GB2312"/>
                <w:kern w:val="0"/>
                <w:sz w:val="22"/>
                <w:szCs w:val="22"/>
              </w:rPr>
              <w:t>30</w:t>
            </w:r>
            <w:r>
              <w:rPr>
                <w:rFonts w:ascii="仿宋_GB2312" w:eastAsia="仿宋_GB2312" w:hAnsi="宋体" w:cs="仿宋_GB2312" w:hint="eastAsia"/>
                <w:kern w:val="0"/>
                <w:sz w:val="22"/>
                <w:szCs w:val="22"/>
              </w:rPr>
              <w:t>亩，医疗和附属用房</w:t>
            </w:r>
            <w:r>
              <w:rPr>
                <w:rFonts w:ascii="仿宋_GB2312" w:eastAsia="仿宋_GB2312" w:hAnsi="宋体" w:cs="仿宋_GB2312"/>
                <w:kern w:val="0"/>
                <w:sz w:val="22"/>
                <w:szCs w:val="22"/>
              </w:rPr>
              <w:t>15000</w:t>
            </w:r>
            <w:r>
              <w:rPr>
                <w:rFonts w:ascii="仿宋_GB2312" w:eastAsia="仿宋_GB2312" w:hAnsi="宋体" w:cs="仿宋_GB2312" w:hint="eastAsia"/>
                <w:kern w:val="0"/>
                <w:sz w:val="22"/>
                <w:szCs w:val="22"/>
              </w:rPr>
              <w:t>平方米。床位</w:t>
            </w:r>
            <w:r>
              <w:rPr>
                <w:rFonts w:ascii="仿宋_GB2312" w:eastAsia="仿宋_GB2312" w:hAnsi="宋体" w:cs="仿宋_GB2312"/>
                <w:kern w:val="0"/>
                <w:sz w:val="22"/>
                <w:szCs w:val="22"/>
              </w:rPr>
              <w:t>95</w:t>
            </w:r>
            <w:r>
              <w:rPr>
                <w:rFonts w:ascii="仿宋_GB2312" w:eastAsia="仿宋_GB2312" w:hAnsi="宋体" w:cs="仿宋_GB2312" w:hint="eastAsia"/>
                <w:kern w:val="0"/>
                <w:sz w:val="22"/>
                <w:szCs w:val="22"/>
              </w:rPr>
              <w:t>张，集疾病诊疗康复保健服务一体的二级乙等综合性医院。</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9000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已列入《景宁畲族自治县城乡卫生服务体系建设</w:t>
            </w:r>
            <w:r>
              <w:rPr>
                <w:rFonts w:ascii="仿宋_GB2312" w:eastAsia="仿宋_GB2312" w:hAnsi="宋体" w:cs="Times New Roman"/>
                <w:kern w:val="0"/>
                <w:sz w:val="22"/>
                <w:szCs w:val="22"/>
              </w:rPr>
              <w:br/>
            </w:r>
            <w:r>
              <w:rPr>
                <w:rFonts w:ascii="仿宋_GB2312" w:eastAsia="仿宋_GB2312" w:hAnsi="宋体" w:cs="仿宋_GB2312" w:hint="eastAsia"/>
                <w:kern w:val="0"/>
                <w:sz w:val="22"/>
                <w:szCs w:val="22"/>
              </w:rPr>
              <w:t>发展规划</w:t>
            </w:r>
            <w:r>
              <w:rPr>
                <w:rFonts w:ascii="仿宋_GB2312" w:eastAsia="仿宋_GB2312" w:hAnsi="宋体" w:cs="仿宋_GB2312"/>
                <w:kern w:val="0"/>
                <w:sz w:val="22"/>
                <w:szCs w:val="22"/>
              </w:rPr>
              <w:t>2011-2015</w:t>
            </w:r>
            <w:r>
              <w:rPr>
                <w:rFonts w:ascii="仿宋_GB2312" w:eastAsia="仿宋_GB2312" w:hAnsi="宋体" w:cs="仿宋_GB2312" w:hint="eastAsia"/>
                <w:kern w:val="0"/>
                <w:sz w:val="22"/>
                <w:szCs w:val="22"/>
              </w:rPr>
              <w:t>》</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正在开展招商引资工作之中。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2015</w:t>
            </w:r>
            <w:r>
              <w:rPr>
                <w:rFonts w:ascii="仿宋_GB2312" w:eastAsia="仿宋_GB2312" w:hAnsi="宋体" w:cs="仿宋_GB2312"/>
                <w:kern w:val="0"/>
                <w:sz w:val="22"/>
                <w:szCs w:val="22"/>
              </w:rPr>
              <w:t>—</w:t>
            </w:r>
            <w:r>
              <w:rPr>
                <w:rFonts w:ascii="仿宋_GB2312" w:eastAsia="仿宋_GB2312" w:hAnsi="宋体" w:cs="仿宋_GB2312"/>
                <w:kern w:val="0"/>
                <w:sz w:val="22"/>
                <w:szCs w:val="22"/>
              </w:rPr>
              <w:t>2019</w:t>
            </w:r>
            <w:r>
              <w:rPr>
                <w:rFonts w:ascii="仿宋_GB2312" w:eastAsia="仿宋_GB2312" w:hAnsi="宋体" w:cs="仿宋_GB2312" w:hint="eastAsia"/>
                <w:kern w:val="0"/>
                <w:sz w:val="22"/>
                <w:szCs w:val="22"/>
              </w:rPr>
              <w:t>年</w:t>
            </w:r>
          </w:p>
        </w:tc>
      </w:tr>
      <w:tr w:rsidR="00AC2A0C" w:rsidTr="00AC2A0C">
        <w:trPr>
          <w:trHeight w:val="3240"/>
          <w:jc w:val="center"/>
        </w:trPr>
        <w:tc>
          <w:tcPr>
            <w:tcW w:w="592" w:type="dxa"/>
            <w:tcBorders>
              <w:top w:val="nil"/>
              <w:left w:val="single" w:sz="4" w:space="0" w:color="auto"/>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48</w:t>
            </w:r>
          </w:p>
        </w:tc>
        <w:tc>
          <w:tcPr>
            <w:tcW w:w="125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梦幻畲乡旅游度假区（养生园）</w:t>
            </w:r>
          </w:p>
        </w:tc>
        <w:tc>
          <w:tcPr>
            <w:tcW w:w="129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景宁县大均乡大赤坑村</w:t>
            </w:r>
          </w:p>
        </w:tc>
        <w:tc>
          <w:tcPr>
            <w:tcW w:w="235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项目将形成以阳光、水岸、畲乡文化、水上乐园为主体的生态休闲度假游和以生态果园、旅游写生、运动为主题的激情体验游。从多层面共同构筑观光、休闲、养生、度假为一体的旅游景区。主要建设养生会所、森林公园、艺术画坊、水上乐园、游艇码头、会议中心，以及道路改建等附属配套工程。</w:t>
            </w:r>
          </w:p>
        </w:tc>
        <w:tc>
          <w:tcPr>
            <w:tcW w:w="1000"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42100</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民办民营</w:t>
            </w:r>
          </w:p>
        </w:tc>
        <w:tc>
          <w:tcPr>
            <w:tcW w:w="170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完成项目初步规划设计，正在进一步与各个相关部门对接，协调政策处理相关问题。</w:t>
            </w:r>
          </w:p>
        </w:tc>
        <w:tc>
          <w:tcPr>
            <w:tcW w:w="945"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hint="eastAsia"/>
                <w:kern w:val="0"/>
                <w:sz w:val="22"/>
                <w:szCs w:val="22"/>
              </w:rPr>
              <w:t>正在开展招商引资工作之中。</w:t>
            </w:r>
          </w:p>
        </w:tc>
        <w:tc>
          <w:tcPr>
            <w:tcW w:w="1476" w:type="dxa"/>
            <w:tcBorders>
              <w:top w:val="nil"/>
              <w:left w:val="nil"/>
              <w:bottom w:val="single" w:sz="4" w:space="0" w:color="auto"/>
              <w:right w:val="single" w:sz="4" w:space="0" w:color="auto"/>
            </w:tcBorders>
            <w:vAlign w:val="center"/>
          </w:tcPr>
          <w:p w:rsidR="00AC2A0C" w:rsidRDefault="00AC2A0C">
            <w:pPr>
              <w:widowControl/>
              <w:jc w:val="center"/>
              <w:rPr>
                <w:rFonts w:ascii="仿宋_GB2312" w:eastAsia="仿宋_GB2312" w:hAnsi="宋体" w:cs="Times New Roman"/>
                <w:kern w:val="0"/>
                <w:sz w:val="22"/>
                <w:szCs w:val="22"/>
              </w:rPr>
            </w:pPr>
            <w:r>
              <w:rPr>
                <w:rFonts w:ascii="仿宋_GB2312" w:eastAsia="仿宋_GB2312" w:hAnsi="宋体" w:cs="仿宋_GB2312"/>
                <w:kern w:val="0"/>
                <w:sz w:val="22"/>
                <w:szCs w:val="22"/>
              </w:rPr>
              <w:t>2014</w:t>
            </w:r>
            <w:r>
              <w:rPr>
                <w:rFonts w:ascii="仿宋_GB2312" w:eastAsia="仿宋_GB2312" w:hAnsi="宋体" w:cs="仿宋_GB2312"/>
                <w:kern w:val="0"/>
                <w:sz w:val="22"/>
                <w:szCs w:val="22"/>
              </w:rPr>
              <w:t>—</w:t>
            </w:r>
            <w:r>
              <w:rPr>
                <w:rFonts w:ascii="仿宋_GB2312" w:eastAsia="仿宋_GB2312" w:hAnsi="宋体" w:cs="仿宋_GB2312"/>
                <w:kern w:val="0"/>
                <w:sz w:val="22"/>
                <w:szCs w:val="22"/>
              </w:rPr>
              <w:t>2020</w:t>
            </w:r>
            <w:r>
              <w:rPr>
                <w:rFonts w:ascii="仿宋_GB2312" w:eastAsia="仿宋_GB2312" w:hAnsi="宋体" w:cs="仿宋_GB2312" w:hint="eastAsia"/>
                <w:kern w:val="0"/>
                <w:sz w:val="22"/>
                <w:szCs w:val="22"/>
              </w:rPr>
              <w:t>年</w:t>
            </w:r>
          </w:p>
        </w:tc>
      </w:tr>
    </w:tbl>
    <w:p w:rsidR="00195273" w:rsidRDefault="00195273" w:rsidP="00195273">
      <w:pPr>
        <w:ind w:firstLineChars="200" w:firstLine="420"/>
        <w:rPr>
          <w:rFonts w:cs="Times New Roman"/>
        </w:rPr>
      </w:pPr>
    </w:p>
    <w:sectPr w:rsidR="00195273">
      <w:pgSz w:w="16838" w:h="11906" w:orient="landscape"/>
      <w:pgMar w:top="1304" w:right="1304" w:bottom="1304" w:left="1304"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76" w:rsidRDefault="00187A76">
      <w:r>
        <w:separator/>
      </w:r>
    </w:p>
  </w:endnote>
  <w:endnote w:type="continuationSeparator" w:id="0">
    <w:p w:rsidR="00187A76" w:rsidRDefault="001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ail">
    <w:altName w:val="Latha"/>
    <w:charset w:val="00"/>
    <w:family w:val="auto"/>
    <w:pitch w:val="default"/>
    <w:sig w:usb0="00000000" w:usb1="00000000" w:usb2="00000000" w:usb3="00000000" w:csb0="00000001" w:csb1="00000000"/>
  </w:font>
  <w:font w:name="?? ! important">
    <w:altName w:val="Times New Roman"/>
    <w:charset w:val="00"/>
    <w:family w:val="auto"/>
    <w:pitch w:val="default"/>
    <w:sig w:usb0="00000000"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73" w:rsidRDefault="004F4DE5">
    <w:pPr>
      <w:pStyle w:val="a5"/>
      <w:jc w:val="center"/>
      <w:rPr>
        <w:rFonts w:cs="Times New Roman"/>
      </w:rPr>
    </w:pPr>
    <w:r>
      <w:fldChar w:fldCharType="begin"/>
    </w:r>
    <w:r>
      <w:instrText xml:space="preserve"> PAGE   \* MERGEFORMAT </w:instrText>
    </w:r>
    <w:r>
      <w:fldChar w:fldCharType="separate"/>
    </w:r>
    <w:r w:rsidR="00AC2A0C" w:rsidRPr="00AC2A0C">
      <w:rPr>
        <w:noProof/>
        <w:lang w:val="zh-CN"/>
      </w:rPr>
      <w:t>7</w:t>
    </w:r>
    <w:r>
      <w:rPr>
        <w:lang w:val="zh-CN"/>
      </w:rPr>
      <w:fldChar w:fldCharType="end"/>
    </w:r>
  </w:p>
  <w:p w:rsidR="00195273" w:rsidRDefault="00195273">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76" w:rsidRDefault="00187A76">
      <w:r>
        <w:separator/>
      </w:r>
    </w:p>
  </w:footnote>
  <w:footnote w:type="continuationSeparator" w:id="0">
    <w:p w:rsidR="00187A76" w:rsidRDefault="00187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58F0E"/>
    <w:multiLevelType w:val="singleLevel"/>
    <w:tmpl w:val="55458F0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AA"/>
    <w:rsid w:val="0000118E"/>
    <w:rsid w:val="00010ADC"/>
    <w:rsid w:val="00011E60"/>
    <w:rsid w:val="000159F0"/>
    <w:rsid w:val="00017221"/>
    <w:rsid w:val="00017223"/>
    <w:rsid w:val="00025EA8"/>
    <w:rsid w:val="00027139"/>
    <w:rsid w:val="00032566"/>
    <w:rsid w:val="00035995"/>
    <w:rsid w:val="000413F5"/>
    <w:rsid w:val="000414D1"/>
    <w:rsid w:val="00043D3D"/>
    <w:rsid w:val="00047998"/>
    <w:rsid w:val="00051CC8"/>
    <w:rsid w:val="0005573A"/>
    <w:rsid w:val="00060088"/>
    <w:rsid w:val="00061586"/>
    <w:rsid w:val="00061CE5"/>
    <w:rsid w:val="00070CC3"/>
    <w:rsid w:val="00071E48"/>
    <w:rsid w:val="0007514A"/>
    <w:rsid w:val="00081606"/>
    <w:rsid w:val="000832E9"/>
    <w:rsid w:val="000853CB"/>
    <w:rsid w:val="00090C5F"/>
    <w:rsid w:val="0009261B"/>
    <w:rsid w:val="000933ED"/>
    <w:rsid w:val="00095070"/>
    <w:rsid w:val="00095EFD"/>
    <w:rsid w:val="000A353B"/>
    <w:rsid w:val="000A406A"/>
    <w:rsid w:val="000A5BB3"/>
    <w:rsid w:val="000A5CDC"/>
    <w:rsid w:val="000B2C8F"/>
    <w:rsid w:val="000B45F9"/>
    <w:rsid w:val="000B7C41"/>
    <w:rsid w:val="000C1B06"/>
    <w:rsid w:val="000C7F07"/>
    <w:rsid w:val="000D1B7B"/>
    <w:rsid w:val="000D5DF3"/>
    <w:rsid w:val="000E43E2"/>
    <w:rsid w:val="000E6117"/>
    <w:rsid w:val="000E621C"/>
    <w:rsid w:val="000E7AF4"/>
    <w:rsid w:val="000F4903"/>
    <w:rsid w:val="000F5568"/>
    <w:rsid w:val="000F6470"/>
    <w:rsid w:val="0010508E"/>
    <w:rsid w:val="00112D31"/>
    <w:rsid w:val="00115315"/>
    <w:rsid w:val="00125A9D"/>
    <w:rsid w:val="00132D30"/>
    <w:rsid w:val="0013485A"/>
    <w:rsid w:val="00134B85"/>
    <w:rsid w:val="00135911"/>
    <w:rsid w:val="00140CF3"/>
    <w:rsid w:val="00141D33"/>
    <w:rsid w:val="00150C56"/>
    <w:rsid w:val="001563AA"/>
    <w:rsid w:val="00161E70"/>
    <w:rsid w:val="001626B9"/>
    <w:rsid w:val="00167EC6"/>
    <w:rsid w:val="00175067"/>
    <w:rsid w:val="00175E90"/>
    <w:rsid w:val="001800AC"/>
    <w:rsid w:val="00180273"/>
    <w:rsid w:val="00182CF8"/>
    <w:rsid w:val="001843E8"/>
    <w:rsid w:val="00185300"/>
    <w:rsid w:val="00187A76"/>
    <w:rsid w:val="001937ED"/>
    <w:rsid w:val="00195273"/>
    <w:rsid w:val="00196164"/>
    <w:rsid w:val="00196E10"/>
    <w:rsid w:val="001A150F"/>
    <w:rsid w:val="001A2E5A"/>
    <w:rsid w:val="001A6DC0"/>
    <w:rsid w:val="001B0066"/>
    <w:rsid w:val="001B1401"/>
    <w:rsid w:val="001B26EF"/>
    <w:rsid w:val="001B49A4"/>
    <w:rsid w:val="001C1279"/>
    <w:rsid w:val="001C301B"/>
    <w:rsid w:val="001C678A"/>
    <w:rsid w:val="001D18E4"/>
    <w:rsid w:val="001E210D"/>
    <w:rsid w:val="001E603F"/>
    <w:rsid w:val="001F4539"/>
    <w:rsid w:val="00200EAE"/>
    <w:rsid w:val="00203DF3"/>
    <w:rsid w:val="002051E9"/>
    <w:rsid w:val="002058AF"/>
    <w:rsid w:val="0021097A"/>
    <w:rsid w:val="00210F76"/>
    <w:rsid w:val="002132A0"/>
    <w:rsid w:val="00214F0F"/>
    <w:rsid w:val="00215835"/>
    <w:rsid w:val="00220385"/>
    <w:rsid w:val="00222E33"/>
    <w:rsid w:val="00223306"/>
    <w:rsid w:val="00223C64"/>
    <w:rsid w:val="002240E4"/>
    <w:rsid w:val="00224624"/>
    <w:rsid w:val="00224F4B"/>
    <w:rsid w:val="00225F68"/>
    <w:rsid w:val="002273C1"/>
    <w:rsid w:val="002324C4"/>
    <w:rsid w:val="0023258C"/>
    <w:rsid w:val="00234667"/>
    <w:rsid w:val="00234F78"/>
    <w:rsid w:val="00236184"/>
    <w:rsid w:val="002408C1"/>
    <w:rsid w:val="00240902"/>
    <w:rsid w:val="00241B88"/>
    <w:rsid w:val="0024229A"/>
    <w:rsid w:val="00244E5F"/>
    <w:rsid w:val="0024501D"/>
    <w:rsid w:val="00250338"/>
    <w:rsid w:val="002503B1"/>
    <w:rsid w:val="00256E28"/>
    <w:rsid w:val="00261C05"/>
    <w:rsid w:val="00265CD4"/>
    <w:rsid w:val="0027548F"/>
    <w:rsid w:val="00277A37"/>
    <w:rsid w:val="00282677"/>
    <w:rsid w:val="00283F30"/>
    <w:rsid w:val="0029048C"/>
    <w:rsid w:val="00291283"/>
    <w:rsid w:val="002926A3"/>
    <w:rsid w:val="002A514A"/>
    <w:rsid w:val="002B5F9A"/>
    <w:rsid w:val="002B72EB"/>
    <w:rsid w:val="002C4E7A"/>
    <w:rsid w:val="002C5BF7"/>
    <w:rsid w:val="002D0190"/>
    <w:rsid w:val="002D2339"/>
    <w:rsid w:val="002E07EC"/>
    <w:rsid w:val="002E197A"/>
    <w:rsid w:val="002E24C6"/>
    <w:rsid w:val="002E3842"/>
    <w:rsid w:val="002E7200"/>
    <w:rsid w:val="00301082"/>
    <w:rsid w:val="0030440D"/>
    <w:rsid w:val="00307069"/>
    <w:rsid w:val="00307388"/>
    <w:rsid w:val="0030777D"/>
    <w:rsid w:val="00311DF4"/>
    <w:rsid w:val="003123E4"/>
    <w:rsid w:val="00315943"/>
    <w:rsid w:val="003161B1"/>
    <w:rsid w:val="00322FFB"/>
    <w:rsid w:val="00324F32"/>
    <w:rsid w:val="00334354"/>
    <w:rsid w:val="00336A84"/>
    <w:rsid w:val="00337D16"/>
    <w:rsid w:val="003538A8"/>
    <w:rsid w:val="003603AC"/>
    <w:rsid w:val="00361F05"/>
    <w:rsid w:val="003651EA"/>
    <w:rsid w:val="00367036"/>
    <w:rsid w:val="00370A13"/>
    <w:rsid w:val="003711F7"/>
    <w:rsid w:val="00374EE5"/>
    <w:rsid w:val="00377ABA"/>
    <w:rsid w:val="00380A1A"/>
    <w:rsid w:val="00382899"/>
    <w:rsid w:val="00383A97"/>
    <w:rsid w:val="0038677E"/>
    <w:rsid w:val="00386D7C"/>
    <w:rsid w:val="00387E5E"/>
    <w:rsid w:val="00393714"/>
    <w:rsid w:val="003962FC"/>
    <w:rsid w:val="00396E17"/>
    <w:rsid w:val="003A1213"/>
    <w:rsid w:val="003A1A84"/>
    <w:rsid w:val="003B7204"/>
    <w:rsid w:val="003B7DD1"/>
    <w:rsid w:val="003D1B56"/>
    <w:rsid w:val="003D2F99"/>
    <w:rsid w:val="003D73BA"/>
    <w:rsid w:val="003E0332"/>
    <w:rsid w:val="003E22A7"/>
    <w:rsid w:val="003E675F"/>
    <w:rsid w:val="003F7453"/>
    <w:rsid w:val="004012BE"/>
    <w:rsid w:val="00402568"/>
    <w:rsid w:val="0040539A"/>
    <w:rsid w:val="004155A8"/>
    <w:rsid w:val="00421FEF"/>
    <w:rsid w:val="00422D3D"/>
    <w:rsid w:val="004244CC"/>
    <w:rsid w:val="00426B93"/>
    <w:rsid w:val="00430082"/>
    <w:rsid w:val="0043101A"/>
    <w:rsid w:val="004321E6"/>
    <w:rsid w:val="0043650D"/>
    <w:rsid w:val="0044167B"/>
    <w:rsid w:val="00443075"/>
    <w:rsid w:val="00450FF7"/>
    <w:rsid w:val="00454F0C"/>
    <w:rsid w:val="004642A9"/>
    <w:rsid w:val="00465522"/>
    <w:rsid w:val="00470CC2"/>
    <w:rsid w:val="004762D9"/>
    <w:rsid w:val="0048553F"/>
    <w:rsid w:val="0049098A"/>
    <w:rsid w:val="00494288"/>
    <w:rsid w:val="004955DA"/>
    <w:rsid w:val="004A0D56"/>
    <w:rsid w:val="004A4F34"/>
    <w:rsid w:val="004B0A73"/>
    <w:rsid w:val="004B0F46"/>
    <w:rsid w:val="004B0F5C"/>
    <w:rsid w:val="004B1D97"/>
    <w:rsid w:val="004B46D1"/>
    <w:rsid w:val="004C00E5"/>
    <w:rsid w:val="004C758E"/>
    <w:rsid w:val="004E4AE5"/>
    <w:rsid w:val="004F4DE5"/>
    <w:rsid w:val="004F58FB"/>
    <w:rsid w:val="005046B2"/>
    <w:rsid w:val="00523657"/>
    <w:rsid w:val="00524626"/>
    <w:rsid w:val="00537995"/>
    <w:rsid w:val="0054273E"/>
    <w:rsid w:val="00544DD9"/>
    <w:rsid w:val="00547DD4"/>
    <w:rsid w:val="00550F67"/>
    <w:rsid w:val="00576723"/>
    <w:rsid w:val="00583083"/>
    <w:rsid w:val="00584BB8"/>
    <w:rsid w:val="0058500D"/>
    <w:rsid w:val="005933CA"/>
    <w:rsid w:val="005A21F1"/>
    <w:rsid w:val="005A3373"/>
    <w:rsid w:val="005B533E"/>
    <w:rsid w:val="005B6112"/>
    <w:rsid w:val="005B7FEB"/>
    <w:rsid w:val="005C00D7"/>
    <w:rsid w:val="005C483F"/>
    <w:rsid w:val="005D0F2D"/>
    <w:rsid w:val="005D3E98"/>
    <w:rsid w:val="005D6A68"/>
    <w:rsid w:val="005D7285"/>
    <w:rsid w:val="005E236B"/>
    <w:rsid w:val="005E2392"/>
    <w:rsid w:val="005E2D59"/>
    <w:rsid w:val="005E507B"/>
    <w:rsid w:val="005E546C"/>
    <w:rsid w:val="005F0442"/>
    <w:rsid w:val="005F0480"/>
    <w:rsid w:val="005F7DA7"/>
    <w:rsid w:val="00604710"/>
    <w:rsid w:val="0060745E"/>
    <w:rsid w:val="006162C9"/>
    <w:rsid w:val="006203BD"/>
    <w:rsid w:val="0062069D"/>
    <w:rsid w:val="006269F2"/>
    <w:rsid w:val="00630DD4"/>
    <w:rsid w:val="0063139E"/>
    <w:rsid w:val="006318FE"/>
    <w:rsid w:val="00634821"/>
    <w:rsid w:val="00634C15"/>
    <w:rsid w:val="00644C19"/>
    <w:rsid w:val="006456E0"/>
    <w:rsid w:val="00650B6F"/>
    <w:rsid w:val="006511F4"/>
    <w:rsid w:val="00656135"/>
    <w:rsid w:val="0065632B"/>
    <w:rsid w:val="00663001"/>
    <w:rsid w:val="00670903"/>
    <w:rsid w:val="006751A9"/>
    <w:rsid w:val="00675882"/>
    <w:rsid w:val="00677D9F"/>
    <w:rsid w:val="006827A7"/>
    <w:rsid w:val="006841A5"/>
    <w:rsid w:val="0069016A"/>
    <w:rsid w:val="006915A9"/>
    <w:rsid w:val="00694EC2"/>
    <w:rsid w:val="00695905"/>
    <w:rsid w:val="0069613A"/>
    <w:rsid w:val="006A1526"/>
    <w:rsid w:val="006A6556"/>
    <w:rsid w:val="006A7F6C"/>
    <w:rsid w:val="006B11F0"/>
    <w:rsid w:val="006C5C88"/>
    <w:rsid w:val="006C7016"/>
    <w:rsid w:val="006D1995"/>
    <w:rsid w:val="006D1B86"/>
    <w:rsid w:val="006D4BE5"/>
    <w:rsid w:val="006E1B1B"/>
    <w:rsid w:val="006E20CF"/>
    <w:rsid w:val="006E4E77"/>
    <w:rsid w:val="006F094C"/>
    <w:rsid w:val="006F1CA0"/>
    <w:rsid w:val="006F6A17"/>
    <w:rsid w:val="00701FE1"/>
    <w:rsid w:val="007027B6"/>
    <w:rsid w:val="007104CB"/>
    <w:rsid w:val="00712685"/>
    <w:rsid w:val="00715514"/>
    <w:rsid w:val="007216EE"/>
    <w:rsid w:val="007235B4"/>
    <w:rsid w:val="00723FA7"/>
    <w:rsid w:val="00733BDF"/>
    <w:rsid w:val="00744C30"/>
    <w:rsid w:val="00746A31"/>
    <w:rsid w:val="00746F46"/>
    <w:rsid w:val="00747539"/>
    <w:rsid w:val="007519CE"/>
    <w:rsid w:val="00752455"/>
    <w:rsid w:val="00754B5D"/>
    <w:rsid w:val="00763F9A"/>
    <w:rsid w:val="0077168B"/>
    <w:rsid w:val="00771C7C"/>
    <w:rsid w:val="0077607C"/>
    <w:rsid w:val="0077691A"/>
    <w:rsid w:val="007804D5"/>
    <w:rsid w:val="007808C5"/>
    <w:rsid w:val="007823AB"/>
    <w:rsid w:val="007832E3"/>
    <w:rsid w:val="0078758F"/>
    <w:rsid w:val="00790137"/>
    <w:rsid w:val="007A2F78"/>
    <w:rsid w:val="007A42DF"/>
    <w:rsid w:val="007A51FA"/>
    <w:rsid w:val="007A78BA"/>
    <w:rsid w:val="007B32C2"/>
    <w:rsid w:val="007B63C8"/>
    <w:rsid w:val="007C34AA"/>
    <w:rsid w:val="007C76B5"/>
    <w:rsid w:val="007C7D61"/>
    <w:rsid w:val="007D053F"/>
    <w:rsid w:val="007D2961"/>
    <w:rsid w:val="007E7436"/>
    <w:rsid w:val="007F382D"/>
    <w:rsid w:val="00801133"/>
    <w:rsid w:val="00801D5F"/>
    <w:rsid w:val="00807D38"/>
    <w:rsid w:val="00825922"/>
    <w:rsid w:val="008278CA"/>
    <w:rsid w:val="008420BC"/>
    <w:rsid w:val="008423E0"/>
    <w:rsid w:val="00844C42"/>
    <w:rsid w:val="00844EC4"/>
    <w:rsid w:val="00852F94"/>
    <w:rsid w:val="008549DC"/>
    <w:rsid w:val="008615BE"/>
    <w:rsid w:val="00862C9B"/>
    <w:rsid w:val="008645DB"/>
    <w:rsid w:val="008655D7"/>
    <w:rsid w:val="00874E86"/>
    <w:rsid w:val="00875232"/>
    <w:rsid w:val="00877AF3"/>
    <w:rsid w:val="00883E6E"/>
    <w:rsid w:val="0089523C"/>
    <w:rsid w:val="00895513"/>
    <w:rsid w:val="00895722"/>
    <w:rsid w:val="008959CC"/>
    <w:rsid w:val="008972A4"/>
    <w:rsid w:val="008A5BC6"/>
    <w:rsid w:val="008B324E"/>
    <w:rsid w:val="008C007A"/>
    <w:rsid w:val="008C0265"/>
    <w:rsid w:val="008C0691"/>
    <w:rsid w:val="008C0818"/>
    <w:rsid w:val="008C1FDF"/>
    <w:rsid w:val="008D66B7"/>
    <w:rsid w:val="008D6F9D"/>
    <w:rsid w:val="008E32D9"/>
    <w:rsid w:val="008F134F"/>
    <w:rsid w:val="008F76BE"/>
    <w:rsid w:val="00903048"/>
    <w:rsid w:val="00904265"/>
    <w:rsid w:val="00910749"/>
    <w:rsid w:val="00911916"/>
    <w:rsid w:val="00913E2D"/>
    <w:rsid w:val="00916D0A"/>
    <w:rsid w:val="00920840"/>
    <w:rsid w:val="00923C2B"/>
    <w:rsid w:val="0092684A"/>
    <w:rsid w:val="009327BB"/>
    <w:rsid w:val="009336EF"/>
    <w:rsid w:val="009412EA"/>
    <w:rsid w:val="0094227E"/>
    <w:rsid w:val="009439C5"/>
    <w:rsid w:val="00944BCA"/>
    <w:rsid w:val="00945BDE"/>
    <w:rsid w:val="009464BD"/>
    <w:rsid w:val="009530DC"/>
    <w:rsid w:val="0095515F"/>
    <w:rsid w:val="00957272"/>
    <w:rsid w:val="009620C7"/>
    <w:rsid w:val="00966D53"/>
    <w:rsid w:val="0096732C"/>
    <w:rsid w:val="00970D3C"/>
    <w:rsid w:val="0097216A"/>
    <w:rsid w:val="0097498E"/>
    <w:rsid w:val="009826CD"/>
    <w:rsid w:val="00982A46"/>
    <w:rsid w:val="00983E63"/>
    <w:rsid w:val="009874EA"/>
    <w:rsid w:val="00992E6A"/>
    <w:rsid w:val="00994C1A"/>
    <w:rsid w:val="009B1E89"/>
    <w:rsid w:val="009B67F2"/>
    <w:rsid w:val="009B6C22"/>
    <w:rsid w:val="009C1FBC"/>
    <w:rsid w:val="009C36AD"/>
    <w:rsid w:val="009C4CAF"/>
    <w:rsid w:val="009C68C1"/>
    <w:rsid w:val="009D425D"/>
    <w:rsid w:val="009D5AFE"/>
    <w:rsid w:val="009D5BDE"/>
    <w:rsid w:val="009D7038"/>
    <w:rsid w:val="009E062C"/>
    <w:rsid w:val="009E7947"/>
    <w:rsid w:val="009E79E8"/>
    <w:rsid w:val="009F2C8D"/>
    <w:rsid w:val="009F366D"/>
    <w:rsid w:val="009F5D11"/>
    <w:rsid w:val="009F7912"/>
    <w:rsid w:val="00A00882"/>
    <w:rsid w:val="00A1289D"/>
    <w:rsid w:val="00A1747D"/>
    <w:rsid w:val="00A1756B"/>
    <w:rsid w:val="00A24A7D"/>
    <w:rsid w:val="00A24CB5"/>
    <w:rsid w:val="00A259B5"/>
    <w:rsid w:val="00A30696"/>
    <w:rsid w:val="00A30F07"/>
    <w:rsid w:val="00A34DFD"/>
    <w:rsid w:val="00A35F53"/>
    <w:rsid w:val="00A37BFC"/>
    <w:rsid w:val="00A37E1F"/>
    <w:rsid w:val="00A405A5"/>
    <w:rsid w:val="00A40EF5"/>
    <w:rsid w:val="00A4202C"/>
    <w:rsid w:val="00A4572F"/>
    <w:rsid w:val="00A54184"/>
    <w:rsid w:val="00A54287"/>
    <w:rsid w:val="00A562F9"/>
    <w:rsid w:val="00A57199"/>
    <w:rsid w:val="00A630AB"/>
    <w:rsid w:val="00A64072"/>
    <w:rsid w:val="00A73CC0"/>
    <w:rsid w:val="00A812AD"/>
    <w:rsid w:val="00A841E5"/>
    <w:rsid w:val="00A84AD1"/>
    <w:rsid w:val="00A90BDE"/>
    <w:rsid w:val="00A93029"/>
    <w:rsid w:val="00A93697"/>
    <w:rsid w:val="00A96A45"/>
    <w:rsid w:val="00AA2E68"/>
    <w:rsid w:val="00AB498D"/>
    <w:rsid w:val="00AC01BA"/>
    <w:rsid w:val="00AC2A0C"/>
    <w:rsid w:val="00AC40E1"/>
    <w:rsid w:val="00AC5AD7"/>
    <w:rsid w:val="00AC5DD2"/>
    <w:rsid w:val="00AD115D"/>
    <w:rsid w:val="00AD2A00"/>
    <w:rsid w:val="00AE3868"/>
    <w:rsid w:val="00AF186B"/>
    <w:rsid w:val="00AF2836"/>
    <w:rsid w:val="00AF2DAE"/>
    <w:rsid w:val="00B00CDD"/>
    <w:rsid w:val="00B02129"/>
    <w:rsid w:val="00B04D4B"/>
    <w:rsid w:val="00B04D6E"/>
    <w:rsid w:val="00B05C36"/>
    <w:rsid w:val="00B06095"/>
    <w:rsid w:val="00B10C8B"/>
    <w:rsid w:val="00B117CC"/>
    <w:rsid w:val="00B11E8C"/>
    <w:rsid w:val="00B14EE2"/>
    <w:rsid w:val="00B15B09"/>
    <w:rsid w:val="00B25365"/>
    <w:rsid w:val="00B265C7"/>
    <w:rsid w:val="00B30779"/>
    <w:rsid w:val="00B372F0"/>
    <w:rsid w:val="00B376BD"/>
    <w:rsid w:val="00B37CC4"/>
    <w:rsid w:val="00B401BE"/>
    <w:rsid w:val="00B42A41"/>
    <w:rsid w:val="00B441FA"/>
    <w:rsid w:val="00B46E79"/>
    <w:rsid w:val="00B54171"/>
    <w:rsid w:val="00B5566D"/>
    <w:rsid w:val="00B561CA"/>
    <w:rsid w:val="00B570B6"/>
    <w:rsid w:val="00B57F6B"/>
    <w:rsid w:val="00B6287A"/>
    <w:rsid w:val="00B62E1A"/>
    <w:rsid w:val="00B646AA"/>
    <w:rsid w:val="00B70BD8"/>
    <w:rsid w:val="00B71758"/>
    <w:rsid w:val="00B74348"/>
    <w:rsid w:val="00B842E5"/>
    <w:rsid w:val="00B844B7"/>
    <w:rsid w:val="00B86D70"/>
    <w:rsid w:val="00B87CBE"/>
    <w:rsid w:val="00B91E12"/>
    <w:rsid w:val="00B92DF5"/>
    <w:rsid w:val="00B95E47"/>
    <w:rsid w:val="00BA3234"/>
    <w:rsid w:val="00BA3307"/>
    <w:rsid w:val="00BA3CBB"/>
    <w:rsid w:val="00BA59C2"/>
    <w:rsid w:val="00BB7E1A"/>
    <w:rsid w:val="00BC537B"/>
    <w:rsid w:val="00BC54C2"/>
    <w:rsid w:val="00BC56E5"/>
    <w:rsid w:val="00BD1891"/>
    <w:rsid w:val="00BD1F24"/>
    <w:rsid w:val="00BD3C35"/>
    <w:rsid w:val="00BD55BA"/>
    <w:rsid w:val="00BD6A12"/>
    <w:rsid w:val="00BD6C69"/>
    <w:rsid w:val="00BE5566"/>
    <w:rsid w:val="00C03F7C"/>
    <w:rsid w:val="00C042FA"/>
    <w:rsid w:val="00C13455"/>
    <w:rsid w:val="00C13DF7"/>
    <w:rsid w:val="00C16F24"/>
    <w:rsid w:val="00C17E19"/>
    <w:rsid w:val="00C22F57"/>
    <w:rsid w:val="00C30C71"/>
    <w:rsid w:val="00C36440"/>
    <w:rsid w:val="00C3677D"/>
    <w:rsid w:val="00C45842"/>
    <w:rsid w:val="00C64DEF"/>
    <w:rsid w:val="00C70C6B"/>
    <w:rsid w:val="00C71141"/>
    <w:rsid w:val="00C734CE"/>
    <w:rsid w:val="00C77BEF"/>
    <w:rsid w:val="00C82690"/>
    <w:rsid w:val="00C837D1"/>
    <w:rsid w:val="00C91F8D"/>
    <w:rsid w:val="00C9631F"/>
    <w:rsid w:val="00CA7190"/>
    <w:rsid w:val="00CB0AAF"/>
    <w:rsid w:val="00CB325C"/>
    <w:rsid w:val="00CB3C56"/>
    <w:rsid w:val="00CB695D"/>
    <w:rsid w:val="00CB7893"/>
    <w:rsid w:val="00CC075D"/>
    <w:rsid w:val="00CC0B26"/>
    <w:rsid w:val="00CC228C"/>
    <w:rsid w:val="00CE0FDB"/>
    <w:rsid w:val="00CE7EB9"/>
    <w:rsid w:val="00CF6D6C"/>
    <w:rsid w:val="00D00216"/>
    <w:rsid w:val="00D0183B"/>
    <w:rsid w:val="00D04B70"/>
    <w:rsid w:val="00D14E54"/>
    <w:rsid w:val="00D17C99"/>
    <w:rsid w:val="00D201EC"/>
    <w:rsid w:val="00D22D4A"/>
    <w:rsid w:val="00D2576A"/>
    <w:rsid w:val="00D26941"/>
    <w:rsid w:val="00D33826"/>
    <w:rsid w:val="00D36717"/>
    <w:rsid w:val="00D36D08"/>
    <w:rsid w:val="00D40043"/>
    <w:rsid w:val="00D42855"/>
    <w:rsid w:val="00D4401C"/>
    <w:rsid w:val="00D44560"/>
    <w:rsid w:val="00D457B4"/>
    <w:rsid w:val="00D45D61"/>
    <w:rsid w:val="00D50872"/>
    <w:rsid w:val="00D509C8"/>
    <w:rsid w:val="00D50E50"/>
    <w:rsid w:val="00D53D85"/>
    <w:rsid w:val="00D54070"/>
    <w:rsid w:val="00D601C1"/>
    <w:rsid w:val="00D63A1A"/>
    <w:rsid w:val="00D63A8C"/>
    <w:rsid w:val="00D64CD2"/>
    <w:rsid w:val="00D653F7"/>
    <w:rsid w:val="00D70FF1"/>
    <w:rsid w:val="00D71377"/>
    <w:rsid w:val="00D75FA8"/>
    <w:rsid w:val="00D80526"/>
    <w:rsid w:val="00D81212"/>
    <w:rsid w:val="00D84926"/>
    <w:rsid w:val="00D87C4D"/>
    <w:rsid w:val="00D914DC"/>
    <w:rsid w:val="00D93EDB"/>
    <w:rsid w:val="00DA1678"/>
    <w:rsid w:val="00DA2832"/>
    <w:rsid w:val="00DA6428"/>
    <w:rsid w:val="00DA7230"/>
    <w:rsid w:val="00DB49B5"/>
    <w:rsid w:val="00DB507D"/>
    <w:rsid w:val="00DC20F0"/>
    <w:rsid w:val="00DD0971"/>
    <w:rsid w:val="00DD5EB1"/>
    <w:rsid w:val="00DD6519"/>
    <w:rsid w:val="00DE0107"/>
    <w:rsid w:val="00DE10CE"/>
    <w:rsid w:val="00DE11A1"/>
    <w:rsid w:val="00DE1FC0"/>
    <w:rsid w:val="00DE4B0D"/>
    <w:rsid w:val="00DE6276"/>
    <w:rsid w:val="00E042B2"/>
    <w:rsid w:val="00E05C25"/>
    <w:rsid w:val="00E06D1F"/>
    <w:rsid w:val="00E1177A"/>
    <w:rsid w:val="00E13193"/>
    <w:rsid w:val="00E15E3A"/>
    <w:rsid w:val="00E203B7"/>
    <w:rsid w:val="00E26039"/>
    <w:rsid w:val="00E364DD"/>
    <w:rsid w:val="00E44A82"/>
    <w:rsid w:val="00E45B8B"/>
    <w:rsid w:val="00E468FA"/>
    <w:rsid w:val="00E57EF5"/>
    <w:rsid w:val="00E6135F"/>
    <w:rsid w:val="00E617D9"/>
    <w:rsid w:val="00E65C87"/>
    <w:rsid w:val="00E74C00"/>
    <w:rsid w:val="00E7770C"/>
    <w:rsid w:val="00E77B3C"/>
    <w:rsid w:val="00E847D1"/>
    <w:rsid w:val="00E8505E"/>
    <w:rsid w:val="00E90B2E"/>
    <w:rsid w:val="00E92B69"/>
    <w:rsid w:val="00E96DA1"/>
    <w:rsid w:val="00EA06AF"/>
    <w:rsid w:val="00EA165D"/>
    <w:rsid w:val="00EA296B"/>
    <w:rsid w:val="00EA3045"/>
    <w:rsid w:val="00EB6629"/>
    <w:rsid w:val="00EC572D"/>
    <w:rsid w:val="00EC76E8"/>
    <w:rsid w:val="00ED1F49"/>
    <w:rsid w:val="00ED2A39"/>
    <w:rsid w:val="00ED46A7"/>
    <w:rsid w:val="00ED76E9"/>
    <w:rsid w:val="00EE290A"/>
    <w:rsid w:val="00EE50E0"/>
    <w:rsid w:val="00EE5418"/>
    <w:rsid w:val="00EE5FA4"/>
    <w:rsid w:val="00F03D93"/>
    <w:rsid w:val="00F041A7"/>
    <w:rsid w:val="00F05436"/>
    <w:rsid w:val="00F17207"/>
    <w:rsid w:val="00F219D5"/>
    <w:rsid w:val="00F337FB"/>
    <w:rsid w:val="00F50680"/>
    <w:rsid w:val="00F50A91"/>
    <w:rsid w:val="00F50EA7"/>
    <w:rsid w:val="00F54388"/>
    <w:rsid w:val="00F56FD9"/>
    <w:rsid w:val="00F60ADC"/>
    <w:rsid w:val="00F6346B"/>
    <w:rsid w:val="00F67E15"/>
    <w:rsid w:val="00F708FA"/>
    <w:rsid w:val="00F70D03"/>
    <w:rsid w:val="00F72221"/>
    <w:rsid w:val="00F80340"/>
    <w:rsid w:val="00F8089A"/>
    <w:rsid w:val="00F84431"/>
    <w:rsid w:val="00F861E8"/>
    <w:rsid w:val="00F91EC8"/>
    <w:rsid w:val="00F92323"/>
    <w:rsid w:val="00F94195"/>
    <w:rsid w:val="00F97FC9"/>
    <w:rsid w:val="00FA5E70"/>
    <w:rsid w:val="00FA7599"/>
    <w:rsid w:val="00FA7622"/>
    <w:rsid w:val="00FA7AF1"/>
    <w:rsid w:val="00FB1204"/>
    <w:rsid w:val="00FB138E"/>
    <w:rsid w:val="00FB211C"/>
    <w:rsid w:val="00FB24F3"/>
    <w:rsid w:val="00FB2661"/>
    <w:rsid w:val="00FB482E"/>
    <w:rsid w:val="00FB6354"/>
    <w:rsid w:val="00FC1C61"/>
    <w:rsid w:val="00FC2256"/>
    <w:rsid w:val="00FC2570"/>
    <w:rsid w:val="00FC321A"/>
    <w:rsid w:val="00FC6D6C"/>
    <w:rsid w:val="00FD56A3"/>
    <w:rsid w:val="00FD67E1"/>
    <w:rsid w:val="00FE0409"/>
    <w:rsid w:val="00FE4517"/>
    <w:rsid w:val="00FF1C0A"/>
    <w:rsid w:val="00FF6BA5"/>
    <w:rsid w:val="02672D80"/>
    <w:rsid w:val="03B9272D"/>
    <w:rsid w:val="04643D0A"/>
    <w:rsid w:val="05972BB7"/>
    <w:rsid w:val="06FC3783"/>
    <w:rsid w:val="07287ACA"/>
    <w:rsid w:val="07890DE8"/>
    <w:rsid w:val="08377C87"/>
    <w:rsid w:val="09B55EFA"/>
    <w:rsid w:val="09F44079"/>
    <w:rsid w:val="0B8D7CFF"/>
    <w:rsid w:val="0D483858"/>
    <w:rsid w:val="0D4C5AE1"/>
    <w:rsid w:val="0E7C03D1"/>
    <w:rsid w:val="0EF56D96"/>
    <w:rsid w:val="0F4B77A5"/>
    <w:rsid w:val="0F825701"/>
    <w:rsid w:val="1091203B"/>
    <w:rsid w:val="10BB6702"/>
    <w:rsid w:val="11217992"/>
    <w:rsid w:val="12A44024"/>
    <w:rsid w:val="12A61726"/>
    <w:rsid w:val="135350C1"/>
    <w:rsid w:val="13D42198"/>
    <w:rsid w:val="15E9057E"/>
    <w:rsid w:val="161E6859"/>
    <w:rsid w:val="18522F76"/>
    <w:rsid w:val="18B151FA"/>
    <w:rsid w:val="18F11B7B"/>
    <w:rsid w:val="1A9C7638"/>
    <w:rsid w:val="1ADE3924"/>
    <w:rsid w:val="1B155FFD"/>
    <w:rsid w:val="1B822DAD"/>
    <w:rsid w:val="1C1945A6"/>
    <w:rsid w:val="1ED47CA2"/>
    <w:rsid w:val="1FA86D80"/>
    <w:rsid w:val="1FDF1459"/>
    <w:rsid w:val="1FEA77EA"/>
    <w:rsid w:val="20201EC2"/>
    <w:rsid w:val="211A595D"/>
    <w:rsid w:val="21DD349D"/>
    <w:rsid w:val="23195423"/>
    <w:rsid w:val="232E1B45"/>
    <w:rsid w:val="237A63C1"/>
    <w:rsid w:val="26A06F6E"/>
    <w:rsid w:val="29082BE0"/>
    <w:rsid w:val="29D335AD"/>
    <w:rsid w:val="2A7C0543"/>
    <w:rsid w:val="2ACF254B"/>
    <w:rsid w:val="2B7319D4"/>
    <w:rsid w:val="2B9F73A1"/>
    <w:rsid w:val="2DAE7949"/>
    <w:rsid w:val="2F444C18"/>
    <w:rsid w:val="2FD00080"/>
    <w:rsid w:val="2FDC6090"/>
    <w:rsid w:val="2FF16036"/>
    <w:rsid w:val="323B26F8"/>
    <w:rsid w:val="33E049B8"/>
    <w:rsid w:val="34D11437"/>
    <w:rsid w:val="35D579E0"/>
    <w:rsid w:val="370522D0"/>
    <w:rsid w:val="373C022C"/>
    <w:rsid w:val="3A6A03E3"/>
    <w:rsid w:val="3ACB7183"/>
    <w:rsid w:val="3B2D17A6"/>
    <w:rsid w:val="3C193BB8"/>
    <w:rsid w:val="3C56470C"/>
    <w:rsid w:val="3D007123"/>
    <w:rsid w:val="3D6C4254"/>
    <w:rsid w:val="3EC7320B"/>
    <w:rsid w:val="3F34383F"/>
    <w:rsid w:val="402E3A57"/>
    <w:rsid w:val="423676B0"/>
    <w:rsid w:val="446012BE"/>
    <w:rsid w:val="46534F71"/>
    <w:rsid w:val="46860C43"/>
    <w:rsid w:val="473110DC"/>
    <w:rsid w:val="474B6403"/>
    <w:rsid w:val="482728EE"/>
    <w:rsid w:val="494A71CD"/>
    <w:rsid w:val="4B346CEE"/>
    <w:rsid w:val="4B493410"/>
    <w:rsid w:val="4B96350F"/>
    <w:rsid w:val="50113369"/>
    <w:rsid w:val="50193A09"/>
    <w:rsid w:val="5060696B"/>
    <w:rsid w:val="51FC1C0F"/>
    <w:rsid w:val="528A4CF6"/>
    <w:rsid w:val="54684287"/>
    <w:rsid w:val="54B07EFF"/>
    <w:rsid w:val="54E33BD1"/>
    <w:rsid w:val="552C52CA"/>
    <w:rsid w:val="55AD6B1D"/>
    <w:rsid w:val="55F0088B"/>
    <w:rsid w:val="59EA6E92"/>
    <w:rsid w:val="5AC445F6"/>
    <w:rsid w:val="5B913D4A"/>
    <w:rsid w:val="5BBA388A"/>
    <w:rsid w:val="5E7E7C15"/>
    <w:rsid w:val="5F88394B"/>
    <w:rsid w:val="600E1625"/>
    <w:rsid w:val="60467201"/>
    <w:rsid w:val="60515592"/>
    <w:rsid w:val="60E81433"/>
    <w:rsid w:val="61402C9C"/>
    <w:rsid w:val="62716891"/>
    <w:rsid w:val="628864B6"/>
    <w:rsid w:val="646856C7"/>
    <w:rsid w:val="651B09EE"/>
    <w:rsid w:val="674525FC"/>
    <w:rsid w:val="67806F5E"/>
    <w:rsid w:val="68490BA5"/>
    <w:rsid w:val="686C7E60"/>
    <w:rsid w:val="68A04E37"/>
    <w:rsid w:val="68AF1BCF"/>
    <w:rsid w:val="6A736F31"/>
    <w:rsid w:val="6AC1283E"/>
    <w:rsid w:val="6AFD2718"/>
    <w:rsid w:val="6B0B3C2C"/>
    <w:rsid w:val="6BA350A4"/>
    <w:rsid w:val="6C2C7DCF"/>
    <w:rsid w:val="6C4504B1"/>
    <w:rsid w:val="6D6B0293"/>
    <w:rsid w:val="6E0D7A9C"/>
    <w:rsid w:val="6F80591C"/>
    <w:rsid w:val="6FD67088"/>
    <w:rsid w:val="7099044B"/>
    <w:rsid w:val="70CF2B23"/>
    <w:rsid w:val="71772037"/>
    <w:rsid w:val="7198256C"/>
    <w:rsid w:val="724C7A91"/>
    <w:rsid w:val="74130252"/>
    <w:rsid w:val="74233FB0"/>
    <w:rsid w:val="74CA112A"/>
    <w:rsid w:val="759926FC"/>
    <w:rsid w:val="76D52484"/>
    <w:rsid w:val="78913A5E"/>
    <w:rsid w:val="78A87E00"/>
    <w:rsid w:val="79352EE7"/>
    <w:rsid w:val="7A6413DB"/>
    <w:rsid w:val="7C00467F"/>
    <w:rsid w:val="7CEC5581"/>
    <w:rsid w:val="7D5671AF"/>
    <w:rsid w:val="7D72325C"/>
    <w:rsid w:val="7DE91FA1"/>
    <w:rsid w:val="7E2C6E4A"/>
    <w:rsid w:val="7EBE6513"/>
    <w:rsid w:val="7EC37706"/>
    <w:rsid w:val="7F19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nhideWhenUsed="0" w:qFormat="1"/>
    <w:lsdException w:name="footer" w:semiHidden="0" w:unhideWhenUsed="0" w:qFormat="1"/>
    <w:lsdException w:name="index heading" w:locked="1"/>
    <w:lsdException w:name="caption" w:locked="1"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Preformatted" w:locked="1"/>
    <w:lsdException w:name="HTML Sample" w:semiHidden="0" w:unhideWhenUsed="0" w:qFormat="1"/>
    <w:lsdException w:name="HTML Typewriter" w:locked="1"/>
    <w:lsdException w:name="HTML Variable" w:semiHidden="0" w:unhideWhenUsed="0" w:qFormat="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pPr>
      <w:keepNext/>
      <w:keepLines/>
      <w:spacing w:before="260" w:after="260" w:line="416" w:lineRule="auto"/>
      <w:outlineLvl w:val="1"/>
    </w:pPr>
    <w:rPr>
      <w:rFonts w:ascii="Arial" w:hAnsi="Arial" w:cs="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locked/>
    <w:rPr>
      <w:rFonts w:ascii="Arial" w:eastAsia="黑体" w:hAnsi="Arial" w:cs="Arial"/>
      <w:sz w:val="20"/>
      <w:szCs w:val="20"/>
    </w:rPr>
  </w:style>
  <w:style w:type="paragraph" w:styleId="30">
    <w:name w:val="toc 3"/>
    <w:basedOn w:val="a"/>
    <w:next w:val="a"/>
    <w:uiPriority w:val="99"/>
    <w:semiHidden/>
    <w:qFormat/>
    <w:pPr>
      <w:ind w:leftChars="400" w:left="840"/>
    </w:pPr>
  </w:style>
  <w:style w:type="paragraph" w:styleId="a4">
    <w:name w:val="Balloon Text"/>
    <w:basedOn w:val="a"/>
    <w:link w:val="Char"/>
    <w:uiPriority w:val="99"/>
    <w:semiHidden/>
    <w:qFormat/>
    <w:rPr>
      <w:kern w:val="0"/>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line="400" w:lineRule="exact"/>
    </w:pPr>
    <w:rPr>
      <w:b/>
      <w:bCs/>
      <w:color w:val="000000"/>
      <w:sz w:val="28"/>
      <w:szCs w:val="28"/>
    </w:rPr>
  </w:style>
  <w:style w:type="paragraph" w:styleId="20">
    <w:name w:val="toc 2"/>
    <w:basedOn w:val="a"/>
    <w:next w:val="a"/>
    <w:uiPriority w:val="99"/>
    <w:semiHidden/>
    <w:qFormat/>
    <w:pPr>
      <w:ind w:leftChars="200" w:left="420"/>
    </w:pPr>
  </w:style>
  <w:style w:type="paragraph" w:styleId="a7">
    <w:name w:val="Normal (Web)"/>
    <w:basedOn w:val="a"/>
    <w:uiPriority w:val="99"/>
    <w:qFormat/>
    <w:pPr>
      <w:widowControl/>
      <w:spacing w:before="150" w:after="150" w:line="480" w:lineRule="auto"/>
      <w:jc w:val="left"/>
    </w:pPr>
    <w:rPr>
      <w:rFonts w:ascii="宋体" w:hAnsi="宋体" w:cs="宋体"/>
      <w:color w:val="000000"/>
      <w:kern w:val="0"/>
    </w:rPr>
  </w:style>
  <w:style w:type="character" w:styleId="a8">
    <w:name w:val="Strong"/>
    <w:uiPriority w:val="99"/>
    <w:qFormat/>
    <w:rPr>
      <w:b/>
      <w:bCs/>
    </w:rPr>
  </w:style>
  <w:style w:type="character" w:styleId="a9">
    <w:name w:val="page number"/>
    <w:basedOn w:val="a0"/>
    <w:uiPriority w:val="99"/>
    <w:qFormat/>
  </w:style>
  <w:style w:type="character" w:styleId="aa">
    <w:name w:val="FollowedHyperlink"/>
    <w:uiPriority w:val="99"/>
    <w:qFormat/>
    <w:rPr>
      <w:color w:val="auto"/>
      <w:u w:val="single"/>
    </w:rPr>
  </w:style>
  <w:style w:type="character" w:styleId="ab">
    <w:name w:val="Emphasis"/>
    <w:basedOn w:val="a0"/>
    <w:uiPriority w:val="99"/>
    <w:qFormat/>
    <w:locked/>
  </w:style>
  <w:style w:type="character" w:styleId="HTML">
    <w:name w:val="HTML Definition"/>
    <w:basedOn w:val="a0"/>
    <w:uiPriority w:val="99"/>
    <w:qFormat/>
  </w:style>
  <w:style w:type="character" w:styleId="HTML0">
    <w:name w:val="HTML Variable"/>
    <w:basedOn w:val="a0"/>
    <w:uiPriority w:val="99"/>
    <w:qFormat/>
  </w:style>
  <w:style w:type="character" w:styleId="ac">
    <w:name w:val="Hyperlink"/>
    <w:uiPriority w:val="99"/>
    <w:qFormat/>
    <w:rPr>
      <w:rFonts w:ascii="??" w:hAnsi="??" w:cs="??"/>
      <w:color w:val="000000"/>
      <w:sz w:val="21"/>
      <w:szCs w:val="21"/>
      <w:u w:val="none"/>
    </w:rPr>
  </w:style>
  <w:style w:type="character" w:styleId="HTML1">
    <w:name w:val="HTML Code"/>
    <w:uiPriority w:val="99"/>
    <w:qFormat/>
    <w:rPr>
      <w:rFonts w:ascii="Courier New" w:hAnsi="Courier New" w:cs="Courier New"/>
      <w:sz w:val="20"/>
      <w:szCs w:val="20"/>
    </w:rPr>
  </w:style>
  <w:style w:type="character" w:styleId="HTML2">
    <w:name w:val="HTML Cite"/>
    <w:basedOn w:val="a0"/>
    <w:uiPriority w:val="99"/>
    <w:qFormat/>
  </w:style>
  <w:style w:type="character" w:styleId="HTML3">
    <w:name w:val="HTML Keyboard"/>
    <w:uiPriority w:val="99"/>
    <w:qFormat/>
    <w:rPr>
      <w:rFonts w:ascii="Courier New" w:hAnsi="Courier New" w:cs="Courier New"/>
      <w:sz w:val="20"/>
      <w:szCs w:val="20"/>
    </w:rPr>
  </w:style>
  <w:style w:type="character" w:styleId="HTML4">
    <w:name w:val="HTML Sample"/>
    <w:uiPriority w:val="99"/>
    <w:qFormat/>
    <w:rPr>
      <w:rFonts w:ascii="Courier New" w:hAnsi="Courier New" w:cs="Courier New"/>
    </w:rPr>
  </w:style>
  <w:style w:type="character" w:customStyle="1" w:styleId="1Char">
    <w:name w:val="标题 1 Char"/>
    <w:link w:val="1"/>
    <w:uiPriority w:val="99"/>
    <w:qFormat/>
    <w:locked/>
    <w:rPr>
      <w:rFonts w:ascii="Calibri" w:eastAsia="黑体" w:hAnsi="Calibri" w:cs="Calibri"/>
      <w:b/>
      <w:bCs/>
      <w:kern w:val="44"/>
      <w:sz w:val="44"/>
      <w:szCs w:val="44"/>
    </w:rPr>
  </w:style>
  <w:style w:type="character" w:customStyle="1" w:styleId="2Char">
    <w:name w:val="标题 2 Char"/>
    <w:link w:val="2"/>
    <w:uiPriority w:val="99"/>
    <w:qFormat/>
    <w:locked/>
    <w:rPr>
      <w:rFonts w:ascii="Arial" w:eastAsia="宋体" w:hAnsi="Arial" w:cs="Arial"/>
      <w:b/>
      <w:bCs/>
      <w:sz w:val="32"/>
      <w:szCs w:val="32"/>
    </w:rPr>
  </w:style>
  <w:style w:type="character" w:customStyle="1" w:styleId="3Char">
    <w:name w:val="标题 3 Char"/>
    <w:link w:val="3"/>
    <w:uiPriority w:val="99"/>
    <w:qFormat/>
    <w:locked/>
    <w:rPr>
      <w:b/>
      <w:bCs/>
      <w:sz w:val="32"/>
      <w:szCs w:val="32"/>
    </w:rPr>
  </w:style>
  <w:style w:type="character" w:customStyle="1" w:styleId="Char">
    <w:name w:val="批注框文本 Char"/>
    <w:link w:val="a4"/>
    <w:uiPriority w:val="99"/>
    <w:semiHidden/>
    <w:qFormat/>
    <w:locked/>
    <w:rPr>
      <w:rFonts w:ascii="Calibri" w:eastAsia="宋体" w:hAnsi="Calibri" w:cs="Calibri"/>
      <w:kern w:val="0"/>
      <w:sz w:val="18"/>
      <w:szCs w:val="18"/>
    </w:rPr>
  </w:style>
  <w:style w:type="character" w:customStyle="1" w:styleId="Char0">
    <w:name w:val="页脚 Char"/>
    <w:link w:val="a5"/>
    <w:uiPriority w:val="99"/>
    <w:qFormat/>
    <w:locked/>
    <w:rPr>
      <w:sz w:val="18"/>
      <w:szCs w:val="18"/>
    </w:rPr>
  </w:style>
  <w:style w:type="character" w:customStyle="1" w:styleId="Char1">
    <w:name w:val="页眉 Char"/>
    <w:link w:val="a6"/>
    <w:uiPriority w:val="99"/>
    <w:semiHidden/>
    <w:qFormat/>
    <w:locked/>
    <w:rPr>
      <w:sz w:val="18"/>
      <w:szCs w:val="18"/>
    </w:rPr>
  </w:style>
  <w:style w:type="paragraph" w:customStyle="1" w:styleId="ListParagraph1">
    <w:name w:val="List Paragraph1"/>
    <w:basedOn w:val="a"/>
    <w:uiPriority w:val="99"/>
    <w:qFormat/>
    <w:pPr>
      <w:ind w:firstLineChars="200" w:firstLine="420"/>
    </w:pPr>
  </w:style>
  <w:style w:type="paragraph" w:customStyle="1" w:styleId="ParaCharCharCharCharCharCharCharChar">
    <w:name w:val="默认段落字体 Para Char Char Char Char Char Char Char Char"/>
    <w:basedOn w:val="a"/>
    <w:uiPriority w:val="99"/>
    <w:qFormat/>
    <w:rPr>
      <w:rFonts w:ascii="Times New Roman" w:hAnsi="Times New Roman" w:cs="Times New Roman"/>
    </w:rPr>
  </w:style>
  <w:style w:type="paragraph" w:customStyle="1" w:styleId="CharCharCharChar">
    <w:name w:val="Char Char Char Char"/>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1">
    <w:name w:val="Char Char Char Char1"/>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TOCHeading1">
    <w:name w:val="TOC Heading1"/>
    <w:basedOn w:val="1"/>
    <w:next w:val="a"/>
    <w:uiPriority w:val="99"/>
    <w:qFormat/>
    <w:pPr>
      <w:widowControl/>
      <w:spacing w:before="480" w:after="0" w:line="276" w:lineRule="auto"/>
      <w:jc w:val="left"/>
      <w:outlineLvl w:val="9"/>
    </w:pPr>
    <w:rPr>
      <w:rFonts w:ascii="Cambria" w:eastAsia="宋体" w:hAnsi="Cambria" w:cs="Cambria"/>
      <w:color w:val="365F91"/>
      <w:kern w:val="0"/>
      <w:sz w:val="28"/>
      <w:szCs w:val="2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36">
    <w:name w:val="xl3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7">
    <w:name w:val="xl3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8">
    <w:name w:val="xl3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39">
    <w:name w:val="xl39"/>
    <w:basedOn w:val="a"/>
    <w:uiPriority w:val="99"/>
    <w:qFormat/>
    <w:pPr>
      <w:widowControl/>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42">
    <w:name w:val="xl42"/>
    <w:basedOn w:val="a"/>
    <w:uiPriority w:val="99"/>
    <w:qFormat/>
    <w:pPr>
      <w:widowControl/>
      <w:spacing w:before="100" w:beforeAutospacing="1" w:after="100" w:afterAutospacing="1"/>
      <w:jc w:val="left"/>
      <w:textAlignment w:val="center"/>
    </w:pPr>
    <w:rPr>
      <w:rFonts w:ascii="宋体" w:hAnsi="宋体" w:cs="宋体"/>
      <w:kern w:val="0"/>
      <w:sz w:val="20"/>
      <w:szCs w:val="20"/>
    </w:rPr>
  </w:style>
  <w:style w:type="paragraph" w:customStyle="1" w:styleId="xl43">
    <w:name w:val="xl43"/>
    <w:basedOn w:val="a"/>
    <w:uiPriority w:val="99"/>
    <w:qFormat/>
    <w:pPr>
      <w:widowControl/>
      <w:spacing w:before="100" w:beforeAutospacing="1" w:after="100" w:afterAutospacing="1"/>
      <w:jc w:val="left"/>
      <w:textAlignment w:val="center"/>
    </w:pPr>
    <w:rPr>
      <w:rFonts w:ascii="宋体" w:hAnsi="宋体" w:cs="宋体"/>
      <w:kern w:val="0"/>
      <w:sz w:val="20"/>
      <w:szCs w:val="20"/>
    </w:rPr>
  </w:style>
  <w:style w:type="paragraph" w:customStyle="1" w:styleId="xl44">
    <w:name w:val="xl4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5">
    <w:name w:val="xl45"/>
    <w:basedOn w:val="a"/>
    <w:uiPriority w:val="99"/>
    <w:qFormat/>
    <w:pPr>
      <w:widowControl/>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46">
    <w:name w:val="xl4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47">
    <w:name w:val="xl4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8">
    <w:name w:val="xl4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9">
    <w:name w:val="xl49"/>
    <w:basedOn w:val="a"/>
    <w:uiPriority w:val="99"/>
    <w:qFormat/>
    <w:pPr>
      <w:widowControl/>
      <w:spacing w:before="100" w:beforeAutospacing="1" w:after="100" w:afterAutospacing="1"/>
      <w:jc w:val="center"/>
      <w:textAlignment w:val="center"/>
    </w:pPr>
    <w:rPr>
      <w:rFonts w:ascii="宋体" w:hAnsi="宋体" w:cs="宋体"/>
      <w:kern w:val="0"/>
      <w:sz w:val="20"/>
      <w:szCs w:val="20"/>
    </w:rPr>
  </w:style>
  <w:style w:type="paragraph" w:customStyle="1" w:styleId="xl50">
    <w:name w:val="xl5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51">
    <w:name w:val="xl51"/>
    <w:basedOn w:val="a"/>
    <w:uiPriority w:val="99"/>
    <w:qFormat/>
    <w:pPr>
      <w:widowControl/>
      <w:spacing w:before="100" w:beforeAutospacing="1" w:after="100" w:afterAutospacing="1"/>
      <w:jc w:val="left"/>
      <w:textAlignment w:val="center"/>
    </w:pPr>
    <w:rPr>
      <w:rFonts w:ascii="宋体" w:hAnsi="宋体" w:cs="宋体"/>
      <w:kern w:val="0"/>
      <w:sz w:val="20"/>
      <w:szCs w:val="20"/>
    </w:rPr>
  </w:style>
  <w:style w:type="paragraph" w:customStyle="1" w:styleId="xl52">
    <w:name w:val="xl52"/>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53">
    <w:name w:val="xl53"/>
    <w:basedOn w:val="a"/>
    <w:uiPriority w:val="99"/>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xl54">
    <w:name w:val="xl54"/>
    <w:basedOn w:val="a"/>
    <w:uiPriority w:val="99"/>
    <w:qFormat/>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55">
    <w:name w:val="xl55"/>
    <w:basedOn w:val="a"/>
    <w:uiPriority w:val="99"/>
    <w:qFormat/>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xl56">
    <w:name w:val="xl56"/>
    <w:basedOn w:val="a"/>
    <w:uiPriority w:val="99"/>
    <w:qFormat/>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57">
    <w:name w:val="xl5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kern w:val="0"/>
      <w:sz w:val="24"/>
      <w:szCs w:val="24"/>
    </w:rPr>
  </w:style>
  <w:style w:type="paragraph" w:customStyle="1" w:styleId="xl58">
    <w:name w:val="xl58"/>
    <w:basedOn w:val="a"/>
    <w:uiPriority w:val="99"/>
    <w:qFormat/>
    <w:pPr>
      <w:widowControl/>
      <w:spacing w:before="100" w:beforeAutospacing="1" w:after="100" w:afterAutospacing="1"/>
      <w:jc w:val="center"/>
      <w:textAlignment w:val="center"/>
    </w:pPr>
    <w:rPr>
      <w:rFonts w:ascii="Times New Roman" w:hAnsi="Times New Roman" w:cs="Times New Roman"/>
      <w:color w:val="000000"/>
      <w:kern w:val="0"/>
      <w:sz w:val="24"/>
      <w:szCs w:val="24"/>
    </w:rPr>
  </w:style>
  <w:style w:type="paragraph" w:customStyle="1" w:styleId="xl59">
    <w:name w:val="xl5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0">
    <w:name w:val="xl6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1">
    <w:name w:val="xl61"/>
    <w:basedOn w:val="a"/>
    <w:uiPriority w:val="99"/>
    <w:qFormat/>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xl62">
    <w:name w:val="xl6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3">
    <w:name w:val="xl6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4">
    <w:name w:val="xl64"/>
    <w:basedOn w:val="a"/>
    <w:uiPriority w:val="99"/>
    <w:qFormat/>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65">
    <w:name w:val="xl65"/>
    <w:basedOn w:val="a"/>
    <w:uiPriority w:val="99"/>
    <w:qFormat/>
    <w:pPr>
      <w:widowControl/>
      <w:spacing w:before="100" w:beforeAutospacing="1" w:after="100" w:afterAutospacing="1"/>
      <w:jc w:val="left"/>
    </w:pPr>
    <w:rPr>
      <w:rFonts w:ascii="宋体" w:hAnsi="宋体" w:cs="宋体"/>
      <w:color w:val="000000"/>
      <w:kern w:val="0"/>
      <w:sz w:val="18"/>
      <w:szCs w:val="18"/>
    </w:rPr>
  </w:style>
  <w:style w:type="paragraph" w:customStyle="1" w:styleId="xl66">
    <w:name w:val="xl66"/>
    <w:basedOn w:val="a"/>
    <w:uiPriority w:val="99"/>
    <w:qFormat/>
    <w:pPr>
      <w:widowControl/>
      <w:spacing w:before="100" w:beforeAutospacing="1" w:after="100" w:afterAutospacing="1"/>
      <w:jc w:val="left"/>
    </w:pPr>
    <w:rPr>
      <w:rFonts w:ascii="宋体" w:hAnsi="宋体" w:cs="宋体"/>
      <w:color w:val="000000"/>
      <w:kern w:val="0"/>
      <w:sz w:val="24"/>
      <w:szCs w:val="24"/>
    </w:rPr>
  </w:style>
  <w:style w:type="paragraph" w:customStyle="1" w:styleId="xl67">
    <w:name w:val="xl67"/>
    <w:basedOn w:val="a"/>
    <w:uiPriority w:val="99"/>
    <w:qFormat/>
    <w:pPr>
      <w:widowControl/>
      <w:pBdr>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8">
    <w:name w:val="xl68"/>
    <w:basedOn w:val="a"/>
    <w:uiPriority w:val="99"/>
    <w:qFormat/>
    <w:pPr>
      <w:widowControl/>
      <w:spacing w:before="100" w:beforeAutospacing="1" w:after="100" w:afterAutospacing="1"/>
      <w:jc w:val="center"/>
      <w:textAlignment w:val="center"/>
    </w:pPr>
    <w:rPr>
      <w:rFonts w:ascii="宋体" w:hAnsi="宋体" w:cs="宋体"/>
      <w:kern w:val="0"/>
      <w:sz w:val="36"/>
      <w:szCs w:val="36"/>
    </w:rPr>
  </w:style>
  <w:style w:type="paragraph" w:customStyle="1" w:styleId="xl69">
    <w:name w:val="xl69"/>
    <w:basedOn w:val="a"/>
    <w:uiPriority w:val="99"/>
    <w:qFormat/>
    <w:pPr>
      <w:widowControl/>
      <w:pBdr>
        <w:bottom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0">
    <w:name w:val="xl70"/>
    <w:basedOn w:val="a"/>
    <w:uiPriority w:val="99"/>
    <w:qFormat/>
    <w:pPr>
      <w:widowControl/>
      <w:pBdr>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1">
    <w:name w:val="xl71"/>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2">
    <w:name w:val="xl7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73">
    <w:name w:val="xl7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character" w:customStyle="1" w:styleId="sidecatalog-index2">
    <w:name w:val="sidecatalog-index2"/>
    <w:uiPriority w:val="99"/>
    <w:qFormat/>
    <w:rPr>
      <w:rFonts w:ascii="Arail" w:hAnsi="Arail" w:cs="Arail"/>
      <w:color w:val="auto"/>
      <w:sz w:val="21"/>
      <w:szCs w:val="21"/>
    </w:rPr>
  </w:style>
  <w:style w:type="character" w:customStyle="1" w:styleId="sidecatalog-index1">
    <w:name w:val="sidecatalog-index1"/>
    <w:uiPriority w:val="99"/>
    <w:qFormat/>
    <w:rPr>
      <w:rFonts w:ascii="Arial" w:hAnsi="Arial" w:cs="Arial"/>
      <w:b/>
      <w:bCs/>
      <w:color w:val="auto"/>
      <w:sz w:val="21"/>
      <w:szCs w:val="21"/>
    </w:rPr>
  </w:style>
  <w:style w:type="character" w:customStyle="1" w:styleId="plus">
    <w:name w:val="plus"/>
    <w:uiPriority w:val="99"/>
    <w:qFormat/>
    <w:rPr>
      <w:b/>
      <w:bCs/>
      <w:vanish/>
      <w:color w:val="auto"/>
      <w:sz w:val="24"/>
      <w:szCs w:val="24"/>
    </w:rPr>
  </w:style>
  <w:style w:type="character" w:customStyle="1" w:styleId="desc">
    <w:name w:val="desc"/>
    <w:uiPriority w:val="99"/>
    <w:qFormat/>
    <w:rPr>
      <w:color w:val="000000"/>
      <w:sz w:val="18"/>
      <w:szCs w:val="18"/>
    </w:rPr>
  </w:style>
  <w:style w:type="character" w:customStyle="1" w:styleId="bdsmore6">
    <w:name w:val="bds_more6"/>
    <w:basedOn w:val="a0"/>
    <w:uiPriority w:val="99"/>
    <w:qFormat/>
  </w:style>
  <w:style w:type="character" w:customStyle="1" w:styleId="bdsmore7">
    <w:name w:val="bds_more7"/>
    <w:uiPriority w:val="99"/>
    <w:qFormat/>
    <w:rPr>
      <w:rFonts w:ascii="宋体" w:eastAsia="宋体" w:hAnsi="宋体" w:cs="宋体"/>
    </w:rPr>
  </w:style>
  <w:style w:type="character" w:customStyle="1" w:styleId="bdsmore8">
    <w:name w:val="bds_more8"/>
    <w:basedOn w:val="a0"/>
    <w:uiPriority w:val="99"/>
    <w:qFormat/>
  </w:style>
  <w:style w:type="character" w:customStyle="1" w:styleId="bdsmore9">
    <w:name w:val="bds_more9"/>
    <w:uiPriority w:val="99"/>
    <w:qFormat/>
    <w:rPr>
      <w:rFonts w:ascii="?? ! important" w:hAnsi="?? ! important" w:cs="?? ! important"/>
      <w:color w:val="auto"/>
      <w:sz w:val="21"/>
      <w:szCs w:val="21"/>
    </w:rPr>
  </w:style>
  <w:style w:type="character" w:customStyle="1" w:styleId="bdsmore10">
    <w:name w:val="bds_more10"/>
    <w:uiPriority w:val="99"/>
    <w:qFormat/>
    <w:rPr>
      <w:rFonts w:ascii="?? ! important" w:hAnsi="?? ! important" w:cs="?? ! important"/>
      <w:color w:val="auto"/>
      <w:sz w:val="18"/>
      <w:szCs w:val="18"/>
    </w:rPr>
  </w:style>
  <w:style w:type="character" w:customStyle="1" w:styleId="polysemyred">
    <w:name w:val="polysemyred"/>
    <w:uiPriority w:val="99"/>
    <w:qFormat/>
    <w:rPr>
      <w:color w:val="auto"/>
      <w:sz w:val="18"/>
      <w:szCs w:val="18"/>
    </w:rPr>
  </w:style>
  <w:style w:type="character" w:customStyle="1" w:styleId="sidecatalog-dot">
    <w:name w:val="sidecatalog-dot"/>
    <w:basedOn w:val="a0"/>
    <w:uiPriority w:val="99"/>
    <w:qFormat/>
  </w:style>
  <w:style w:type="character" w:customStyle="1" w:styleId="sidecatalog-dot1">
    <w:name w:val="sidecatalog-dot1"/>
    <w:basedOn w:val="a0"/>
    <w:uiPriority w:val="99"/>
    <w:qFormat/>
  </w:style>
  <w:style w:type="character" w:customStyle="1" w:styleId="morelink-item">
    <w:name w:val="morelink-item"/>
    <w:basedOn w:val="a0"/>
    <w:uiPriority w:val="99"/>
    <w:qFormat/>
  </w:style>
  <w:style w:type="character" w:customStyle="1" w:styleId="polysemyexp">
    <w:name w:val="polysemyexp"/>
    <w:uiPriority w:val="99"/>
    <w:qFormat/>
    <w:rPr>
      <w:color w:val="auto"/>
      <w:sz w:val="18"/>
      <w:szCs w:val="18"/>
    </w:rPr>
  </w:style>
  <w:style w:type="character" w:customStyle="1" w:styleId="sort">
    <w:name w:val="sort"/>
    <w:uiPriority w:val="99"/>
    <w:qFormat/>
    <w:rPr>
      <w:color w:val="FFFFFF"/>
      <w:bdr w:val="single" w:sz="24" w:space="0" w:color="auto"/>
    </w:rPr>
  </w:style>
  <w:style w:type="character" w:customStyle="1" w:styleId="sort1">
    <w:name w:val="sort1"/>
    <w:basedOn w:val="a0"/>
    <w:uiPriority w:val="99"/>
    <w:qFormat/>
  </w:style>
  <w:style w:type="character" w:customStyle="1" w:styleId="lemmatitleh12">
    <w:name w:val="lemmatitleh12"/>
    <w:basedOn w:val="a0"/>
    <w:uiPriority w:val="99"/>
    <w:qFormat/>
  </w:style>
  <w:style w:type="character" w:customStyle="1" w:styleId="bdsnopic">
    <w:name w:val="bds_nopic"/>
    <w:basedOn w:val="a0"/>
    <w:uiPriority w:val="99"/>
    <w:qFormat/>
  </w:style>
  <w:style w:type="character" w:customStyle="1" w:styleId="bdsnopic1">
    <w:name w:val="bds_nopic1"/>
    <w:basedOn w:val="a0"/>
    <w:uiPriority w:val="99"/>
    <w:qFormat/>
  </w:style>
  <w:style w:type="character" w:customStyle="1" w:styleId="bdsnopic2">
    <w:name w:val="bds_nopic2"/>
    <w:basedOn w:val="a0"/>
    <w:uiPriority w:val="99"/>
    <w:qFormat/>
  </w:style>
  <w:style w:type="character" w:customStyle="1" w:styleId="desc12">
    <w:name w:val="desc12"/>
    <w:uiPriority w:val="99"/>
    <w:qFormat/>
    <w:rPr>
      <w:color w:val="000000"/>
      <w:sz w:val="18"/>
      <w:szCs w:val="18"/>
    </w:rPr>
  </w:style>
  <w:style w:type="character" w:customStyle="1" w:styleId="bdsmore">
    <w:name w:val="bds_more"/>
    <w:basedOn w:val="a0"/>
    <w:uiPriority w:val="99"/>
    <w:qFormat/>
  </w:style>
  <w:style w:type="character" w:customStyle="1" w:styleId="bdsmore1">
    <w:name w:val="bds_more1"/>
    <w:basedOn w:val="a0"/>
    <w:uiPriority w:val="99"/>
    <w:qFormat/>
  </w:style>
  <w:style w:type="character" w:customStyle="1" w:styleId="bdsmore2">
    <w:name w:val="bds_more2"/>
    <w:uiPriority w:val="99"/>
    <w:qFormat/>
    <w:rPr>
      <w:rFonts w:ascii="宋体" w:eastAsia="宋体" w:hAnsi="宋体" w:cs="宋体"/>
    </w:rPr>
  </w:style>
  <w:style w:type="character" w:customStyle="1" w:styleId="bdsmore3">
    <w:name w:val="bds_more3"/>
    <w:basedOn w:val="a0"/>
    <w:uiPriority w:val="99"/>
    <w:qFormat/>
  </w:style>
  <w:style w:type="character" w:customStyle="1" w:styleId="bdsmore4">
    <w:name w:val="bds_more4"/>
    <w:basedOn w:val="a0"/>
    <w:uiPriority w:val="99"/>
    <w:qFormat/>
  </w:style>
  <w:style w:type="character" w:customStyle="1" w:styleId="lemmatitleh1">
    <w:name w:val="lemmatitleh1"/>
    <w:basedOn w:val="a0"/>
    <w:uiPriority w:val="99"/>
    <w:qFormat/>
  </w:style>
  <w:style w:type="character" w:customStyle="1" w:styleId="sidecatalog-dot4">
    <w:name w:val="sidecatalog-dot4"/>
    <w:basedOn w:val="a0"/>
    <w:uiPriority w:val="99"/>
    <w:qFormat/>
  </w:style>
  <w:style w:type="character" w:customStyle="1" w:styleId="sidecatalog-dot5">
    <w:name w:val="sidecatalog-dot5"/>
    <w:basedOn w:val="a0"/>
    <w:uiPriority w:val="99"/>
    <w:qFormat/>
  </w:style>
  <w:style w:type="character" w:customStyle="1" w:styleId="bdsmore5">
    <w:name w:val="bds_more5"/>
    <w:basedOn w:val="a0"/>
    <w:uiPriority w:val="99"/>
    <w:qFormat/>
  </w:style>
  <w:style w:type="character" w:customStyle="1" w:styleId="headline-content5">
    <w:name w:val="headline-content5"/>
    <w:uiPriority w:val="99"/>
    <w:qFormat/>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nhideWhenUsed="0" w:qFormat="1"/>
    <w:lsdException w:name="footer" w:semiHidden="0" w:unhideWhenUsed="0" w:qFormat="1"/>
    <w:lsdException w:name="index heading" w:locked="1"/>
    <w:lsdException w:name="caption" w:locked="1"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Preformatted" w:locked="1"/>
    <w:lsdException w:name="HTML Sample" w:semiHidden="0" w:unhideWhenUsed="0" w:qFormat="1"/>
    <w:lsdException w:name="HTML Typewriter" w:locked="1"/>
    <w:lsdException w:name="HTML Variable" w:semiHidden="0" w:unhideWhenUsed="0" w:qFormat="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pPr>
      <w:keepNext/>
      <w:keepLines/>
      <w:spacing w:before="260" w:after="260" w:line="416" w:lineRule="auto"/>
      <w:outlineLvl w:val="1"/>
    </w:pPr>
    <w:rPr>
      <w:rFonts w:ascii="Arial" w:hAnsi="Arial" w:cs="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locked/>
    <w:rPr>
      <w:rFonts w:ascii="Arial" w:eastAsia="黑体" w:hAnsi="Arial" w:cs="Arial"/>
      <w:sz w:val="20"/>
      <w:szCs w:val="20"/>
    </w:rPr>
  </w:style>
  <w:style w:type="paragraph" w:styleId="30">
    <w:name w:val="toc 3"/>
    <w:basedOn w:val="a"/>
    <w:next w:val="a"/>
    <w:uiPriority w:val="99"/>
    <w:semiHidden/>
    <w:qFormat/>
    <w:pPr>
      <w:ind w:leftChars="400" w:left="840"/>
    </w:pPr>
  </w:style>
  <w:style w:type="paragraph" w:styleId="a4">
    <w:name w:val="Balloon Text"/>
    <w:basedOn w:val="a"/>
    <w:link w:val="Char"/>
    <w:uiPriority w:val="99"/>
    <w:semiHidden/>
    <w:qFormat/>
    <w:rPr>
      <w:kern w:val="0"/>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line="400" w:lineRule="exact"/>
    </w:pPr>
    <w:rPr>
      <w:b/>
      <w:bCs/>
      <w:color w:val="000000"/>
      <w:sz w:val="28"/>
      <w:szCs w:val="28"/>
    </w:rPr>
  </w:style>
  <w:style w:type="paragraph" w:styleId="20">
    <w:name w:val="toc 2"/>
    <w:basedOn w:val="a"/>
    <w:next w:val="a"/>
    <w:uiPriority w:val="99"/>
    <w:semiHidden/>
    <w:qFormat/>
    <w:pPr>
      <w:ind w:leftChars="200" w:left="420"/>
    </w:pPr>
  </w:style>
  <w:style w:type="paragraph" w:styleId="a7">
    <w:name w:val="Normal (Web)"/>
    <w:basedOn w:val="a"/>
    <w:uiPriority w:val="99"/>
    <w:qFormat/>
    <w:pPr>
      <w:widowControl/>
      <w:spacing w:before="150" w:after="150" w:line="480" w:lineRule="auto"/>
      <w:jc w:val="left"/>
    </w:pPr>
    <w:rPr>
      <w:rFonts w:ascii="宋体" w:hAnsi="宋体" w:cs="宋体"/>
      <w:color w:val="000000"/>
      <w:kern w:val="0"/>
    </w:rPr>
  </w:style>
  <w:style w:type="character" w:styleId="a8">
    <w:name w:val="Strong"/>
    <w:uiPriority w:val="99"/>
    <w:qFormat/>
    <w:rPr>
      <w:b/>
      <w:bCs/>
    </w:rPr>
  </w:style>
  <w:style w:type="character" w:styleId="a9">
    <w:name w:val="page number"/>
    <w:basedOn w:val="a0"/>
    <w:uiPriority w:val="99"/>
    <w:qFormat/>
  </w:style>
  <w:style w:type="character" w:styleId="aa">
    <w:name w:val="FollowedHyperlink"/>
    <w:uiPriority w:val="99"/>
    <w:qFormat/>
    <w:rPr>
      <w:color w:val="auto"/>
      <w:u w:val="single"/>
    </w:rPr>
  </w:style>
  <w:style w:type="character" w:styleId="ab">
    <w:name w:val="Emphasis"/>
    <w:basedOn w:val="a0"/>
    <w:uiPriority w:val="99"/>
    <w:qFormat/>
    <w:locked/>
  </w:style>
  <w:style w:type="character" w:styleId="HTML">
    <w:name w:val="HTML Definition"/>
    <w:basedOn w:val="a0"/>
    <w:uiPriority w:val="99"/>
    <w:qFormat/>
  </w:style>
  <w:style w:type="character" w:styleId="HTML0">
    <w:name w:val="HTML Variable"/>
    <w:basedOn w:val="a0"/>
    <w:uiPriority w:val="99"/>
    <w:qFormat/>
  </w:style>
  <w:style w:type="character" w:styleId="ac">
    <w:name w:val="Hyperlink"/>
    <w:uiPriority w:val="99"/>
    <w:qFormat/>
    <w:rPr>
      <w:rFonts w:ascii="??" w:hAnsi="??" w:cs="??"/>
      <w:color w:val="000000"/>
      <w:sz w:val="21"/>
      <w:szCs w:val="21"/>
      <w:u w:val="none"/>
    </w:rPr>
  </w:style>
  <w:style w:type="character" w:styleId="HTML1">
    <w:name w:val="HTML Code"/>
    <w:uiPriority w:val="99"/>
    <w:qFormat/>
    <w:rPr>
      <w:rFonts w:ascii="Courier New" w:hAnsi="Courier New" w:cs="Courier New"/>
      <w:sz w:val="20"/>
      <w:szCs w:val="20"/>
    </w:rPr>
  </w:style>
  <w:style w:type="character" w:styleId="HTML2">
    <w:name w:val="HTML Cite"/>
    <w:basedOn w:val="a0"/>
    <w:uiPriority w:val="99"/>
    <w:qFormat/>
  </w:style>
  <w:style w:type="character" w:styleId="HTML3">
    <w:name w:val="HTML Keyboard"/>
    <w:uiPriority w:val="99"/>
    <w:qFormat/>
    <w:rPr>
      <w:rFonts w:ascii="Courier New" w:hAnsi="Courier New" w:cs="Courier New"/>
      <w:sz w:val="20"/>
      <w:szCs w:val="20"/>
    </w:rPr>
  </w:style>
  <w:style w:type="character" w:styleId="HTML4">
    <w:name w:val="HTML Sample"/>
    <w:uiPriority w:val="99"/>
    <w:qFormat/>
    <w:rPr>
      <w:rFonts w:ascii="Courier New" w:hAnsi="Courier New" w:cs="Courier New"/>
    </w:rPr>
  </w:style>
  <w:style w:type="character" w:customStyle="1" w:styleId="1Char">
    <w:name w:val="标题 1 Char"/>
    <w:link w:val="1"/>
    <w:uiPriority w:val="99"/>
    <w:qFormat/>
    <w:locked/>
    <w:rPr>
      <w:rFonts w:ascii="Calibri" w:eastAsia="黑体" w:hAnsi="Calibri" w:cs="Calibri"/>
      <w:b/>
      <w:bCs/>
      <w:kern w:val="44"/>
      <w:sz w:val="44"/>
      <w:szCs w:val="44"/>
    </w:rPr>
  </w:style>
  <w:style w:type="character" w:customStyle="1" w:styleId="2Char">
    <w:name w:val="标题 2 Char"/>
    <w:link w:val="2"/>
    <w:uiPriority w:val="99"/>
    <w:qFormat/>
    <w:locked/>
    <w:rPr>
      <w:rFonts w:ascii="Arial" w:eastAsia="宋体" w:hAnsi="Arial" w:cs="Arial"/>
      <w:b/>
      <w:bCs/>
      <w:sz w:val="32"/>
      <w:szCs w:val="32"/>
    </w:rPr>
  </w:style>
  <w:style w:type="character" w:customStyle="1" w:styleId="3Char">
    <w:name w:val="标题 3 Char"/>
    <w:link w:val="3"/>
    <w:uiPriority w:val="99"/>
    <w:qFormat/>
    <w:locked/>
    <w:rPr>
      <w:b/>
      <w:bCs/>
      <w:sz w:val="32"/>
      <w:szCs w:val="32"/>
    </w:rPr>
  </w:style>
  <w:style w:type="character" w:customStyle="1" w:styleId="Char">
    <w:name w:val="批注框文本 Char"/>
    <w:link w:val="a4"/>
    <w:uiPriority w:val="99"/>
    <w:semiHidden/>
    <w:qFormat/>
    <w:locked/>
    <w:rPr>
      <w:rFonts w:ascii="Calibri" w:eastAsia="宋体" w:hAnsi="Calibri" w:cs="Calibri"/>
      <w:kern w:val="0"/>
      <w:sz w:val="18"/>
      <w:szCs w:val="18"/>
    </w:rPr>
  </w:style>
  <w:style w:type="character" w:customStyle="1" w:styleId="Char0">
    <w:name w:val="页脚 Char"/>
    <w:link w:val="a5"/>
    <w:uiPriority w:val="99"/>
    <w:qFormat/>
    <w:locked/>
    <w:rPr>
      <w:sz w:val="18"/>
      <w:szCs w:val="18"/>
    </w:rPr>
  </w:style>
  <w:style w:type="character" w:customStyle="1" w:styleId="Char1">
    <w:name w:val="页眉 Char"/>
    <w:link w:val="a6"/>
    <w:uiPriority w:val="99"/>
    <w:semiHidden/>
    <w:qFormat/>
    <w:locked/>
    <w:rPr>
      <w:sz w:val="18"/>
      <w:szCs w:val="18"/>
    </w:rPr>
  </w:style>
  <w:style w:type="paragraph" w:customStyle="1" w:styleId="ListParagraph1">
    <w:name w:val="List Paragraph1"/>
    <w:basedOn w:val="a"/>
    <w:uiPriority w:val="99"/>
    <w:qFormat/>
    <w:pPr>
      <w:ind w:firstLineChars="200" w:firstLine="420"/>
    </w:pPr>
  </w:style>
  <w:style w:type="paragraph" w:customStyle="1" w:styleId="ParaCharCharCharCharCharCharCharChar">
    <w:name w:val="默认段落字体 Para Char Char Char Char Char Char Char Char"/>
    <w:basedOn w:val="a"/>
    <w:uiPriority w:val="99"/>
    <w:qFormat/>
    <w:rPr>
      <w:rFonts w:ascii="Times New Roman" w:hAnsi="Times New Roman" w:cs="Times New Roman"/>
    </w:rPr>
  </w:style>
  <w:style w:type="paragraph" w:customStyle="1" w:styleId="CharCharCharChar">
    <w:name w:val="Char Char Char Char"/>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1">
    <w:name w:val="Char Char Char Char1"/>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TOCHeading1">
    <w:name w:val="TOC Heading1"/>
    <w:basedOn w:val="1"/>
    <w:next w:val="a"/>
    <w:uiPriority w:val="99"/>
    <w:qFormat/>
    <w:pPr>
      <w:widowControl/>
      <w:spacing w:before="480" w:after="0" w:line="276" w:lineRule="auto"/>
      <w:jc w:val="left"/>
      <w:outlineLvl w:val="9"/>
    </w:pPr>
    <w:rPr>
      <w:rFonts w:ascii="Cambria" w:eastAsia="宋体" w:hAnsi="Cambria" w:cs="Cambria"/>
      <w:color w:val="365F91"/>
      <w:kern w:val="0"/>
      <w:sz w:val="28"/>
      <w:szCs w:val="2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36">
    <w:name w:val="xl3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7">
    <w:name w:val="xl3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8">
    <w:name w:val="xl3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39">
    <w:name w:val="xl39"/>
    <w:basedOn w:val="a"/>
    <w:uiPriority w:val="99"/>
    <w:qFormat/>
    <w:pPr>
      <w:widowControl/>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42">
    <w:name w:val="xl42"/>
    <w:basedOn w:val="a"/>
    <w:uiPriority w:val="99"/>
    <w:qFormat/>
    <w:pPr>
      <w:widowControl/>
      <w:spacing w:before="100" w:beforeAutospacing="1" w:after="100" w:afterAutospacing="1"/>
      <w:jc w:val="left"/>
      <w:textAlignment w:val="center"/>
    </w:pPr>
    <w:rPr>
      <w:rFonts w:ascii="宋体" w:hAnsi="宋体" w:cs="宋体"/>
      <w:kern w:val="0"/>
      <w:sz w:val="20"/>
      <w:szCs w:val="20"/>
    </w:rPr>
  </w:style>
  <w:style w:type="paragraph" w:customStyle="1" w:styleId="xl43">
    <w:name w:val="xl43"/>
    <w:basedOn w:val="a"/>
    <w:uiPriority w:val="99"/>
    <w:qFormat/>
    <w:pPr>
      <w:widowControl/>
      <w:spacing w:before="100" w:beforeAutospacing="1" w:after="100" w:afterAutospacing="1"/>
      <w:jc w:val="left"/>
      <w:textAlignment w:val="center"/>
    </w:pPr>
    <w:rPr>
      <w:rFonts w:ascii="宋体" w:hAnsi="宋体" w:cs="宋体"/>
      <w:kern w:val="0"/>
      <w:sz w:val="20"/>
      <w:szCs w:val="20"/>
    </w:rPr>
  </w:style>
  <w:style w:type="paragraph" w:customStyle="1" w:styleId="xl44">
    <w:name w:val="xl4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5">
    <w:name w:val="xl45"/>
    <w:basedOn w:val="a"/>
    <w:uiPriority w:val="99"/>
    <w:qFormat/>
    <w:pPr>
      <w:widowControl/>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46">
    <w:name w:val="xl4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47">
    <w:name w:val="xl4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8">
    <w:name w:val="xl4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9">
    <w:name w:val="xl49"/>
    <w:basedOn w:val="a"/>
    <w:uiPriority w:val="99"/>
    <w:qFormat/>
    <w:pPr>
      <w:widowControl/>
      <w:spacing w:before="100" w:beforeAutospacing="1" w:after="100" w:afterAutospacing="1"/>
      <w:jc w:val="center"/>
      <w:textAlignment w:val="center"/>
    </w:pPr>
    <w:rPr>
      <w:rFonts w:ascii="宋体" w:hAnsi="宋体" w:cs="宋体"/>
      <w:kern w:val="0"/>
      <w:sz w:val="20"/>
      <w:szCs w:val="20"/>
    </w:rPr>
  </w:style>
  <w:style w:type="paragraph" w:customStyle="1" w:styleId="xl50">
    <w:name w:val="xl5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51">
    <w:name w:val="xl51"/>
    <w:basedOn w:val="a"/>
    <w:uiPriority w:val="99"/>
    <w:qFormat/>
    <w:pPr>
      <w:widowControl/>
      <w:spacing w:before="100" w:beforeAutospacing="1" w:after="100" w:afterAutospacing="1"/>
      <w:jc w:val="left"/>
      <w:textAlignment w:val="center"/>
    </w:pPr>
    <w:rPr>
      <w:rFonts w:ascii="宋体" w:hAnsi="宋体" w:cs="宋体"/>
      <w:kern w:val="0"/>
      <w:sz w:val="20"/>
      <w:szCs w:val="20"/>
    </w:rPr>
  </w:style>
  <w:style w:type="paragraph" w:customStyle="1" w:styleId="xl52">
    <w:name w:val="xl52"/>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53">
    <w:name w:val="xl53"/>
    <w:basedOn w:val="a"/>
    <w:uiPriority w:val="99"/>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xl54">
    <w:name w:val="xl54"/>
    <w:basedOn w:val="a"/>
    <w:uiPriority w:val="99"/>
    <w:qFormat/>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55">
    <w:name w:val="xl55"/>
    <w:basedOn w:val="a"/>
    <w:uiPriority w:val="99"/>
    <w:qFormat/>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xl56">
    <w:name w:val="xl56"/>
    <w:basedOn w:val="a"/>
    <w:uiPriority w:val="99"/>
    <w:qFormat/>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57">
    <w:name w:val="xl5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kern w:val="0"/>
      <w:sz w:val="24"/>
      <w:szCs w:val="24"/>
    </w:rPr>
  </w:style>
  <w:style w:type="paragraph" w:customStyle="1" w:styleId="xl58">
    <w:name w:val="xl58"/>
    <w:basedOn w:val="a"/>
    <w:uiPriority w:val="99"/>
    <w:qFormat/>
    <w:pPr>
      <w:widowControl/>
      <w:spacing w:before="100" w:beforeAutospacing="1" w:after="100" w:afterAutospacing="1"/>
      <w:jc w:val="center"/>
      <w:textAlignment w:val="center"/>
    </w:pPr>
    <w:rPr>
      <w:rFonts w:ascii="Times New Roman" w:hAnsi="Times New Roman" w:cs="Times New Roman"/>
      <w:color w:val="000000"/>
      <w:kern w:val="0"/>
      <w:sz w:val="24"/>
      <w:szCs w:val="24"/>
    </w:rPr>
  </w:style>
  <w:style w:type="paragraph" w:customStyle="1" w:styleId="xl59">
    <w:name w:val="xl5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0">
    <w:name w:val="xl6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1">
    <w:name w:val="xl61"/>
    <w:basedOn w:val="a"/>
    <w:uiPriority w:val="99"/>
    <w:qFormat/>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xl62">
    <w:name w:val="xl6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3">
    <w:name w:val="xl6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4">
    <w:name w:val="xl64"/>
    <w:basedOn w:val="a"/>
    <w:uiPriority w:val="99"/>
    <w:qFormat/>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65">
    <w:name w:val="xl65"/>
    <w:basedOn w:val="a"/>
    <w:uiPriority w:val="99"/>
    <w:qFormat/>
    <w:pPr>
      <w:widowControl/>
      <w:spacing w:before="100" w:beforeAutospacing="1" w:after="100" w:afterAutospacing="1"/>
      <w:jc w:val="left"/>
    </w:pPr>
    <w:rPr>
      <w:rFonts w:ascii="宋体" w:hAnsi="宋体" w:cs="宋体"/>
      <w:color w:val="000000"/>
      <w:kern w:val="0"/>
      <w:sz w:val="18"/>
      <w:szCs w:val="18"/>
    </w:rPr>
  </w:style>
  <w:style w:type="paragraph" w:customStyle="1" w:styleId="xl66">
    <w:name w:val="xl66"/>
    <w:basedOn w:val="a"/>
    <w:uiPriority w:val="99"/>
    <w:qFormat/>
    <w:pPr>
      <w:widowControl/>
      <w:spacing w:before="100" w:beforeAutospacing="1" w:after="100" w:afterAutospacing="1"/>
      <w:jc w:val="left"/>
    </w:pPr>
    <w:rPr>
      <w:rFonts w:ascii="宋体" w:hAnsi="宋体" w:cs="宋体"/>
      <w:color w:val="000000"/>
      <w:kern w:val="0"/>
      <w:sz w:val="24"/>
      <w:szCs w:val="24"/>
    </w:rPr>
  </w:style>
  <w:style w:type="paragraph" w:customStyle="1" w:styleId="xl67">
    <w:name w:val="xl67"/>
    <w:basedOn w:val="a"/>
    <w:uiPriority w:val="99"/>
    <w:qFormat/>
    <w:pPr>
      <w:widowControl/>
      <w:pBdr>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8">
    <w:name w:val="xl68"/>
    <w:basedOn w:val="a"/>
    <w:uiPriority w:val="99"/>
    <w:qFormat/>
    <w:pPr>
      <w:widowControl/>
      <w:spacing w:before="100" w:beforeAutospacing="1" w:after="100" w:afterAutospacing="1"/>
      <w:jc w:val="center"/>
      <w:textAlignment w:val="center"/>
    </w:pPr>
    <w:rPr>
      <w:rFonts w:ascii="宋体" w:hAnsi="宋体" w:cs="宋体"/>
      <w:kern w:val="0"/>
      <w:sz w:val="36"/>
      <w:szCs w:val="36"/>
    </w:rPr>
  </w:style>
  <w:style w:type="paragraph" w:customStyle="1" w:styleId="xl69">
    <w:name w:val="xl69"/>
    <w:basedOn w:val="a"/>
    <w:uiPriority w:val="99"/>
    <w:qFormat/>
    <w:pPr>
      <w:widowControl/>
      <w:pBdr>
        <w:bottom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0">
    <w:name w:val="xl70"/>
    <w:basedOn w:val="a"/>
    <w:uiPriority w:val="99"/>
    <w:qFormat/>
    <w:pPr>
      <w:widowControl/>
      <w:pBdr>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1">
    <w:name w:val="xl71"/>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2">
    <w:name w:val="xl7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73">
    <w:name w:val="xl7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character" w:customStyle="1" w:styleId="sidecatalog-index2">
    <w:name w:val="sidecatalog-index2"/>
    <w:uiPriority w:val="99"/>
    <w:qFormat/>
    <w:rPr>
      <w:rFonts w:ascii="Arail" w:hAnsi="Arail" w:cs="Arail"/>
      <w:color w:val="auto"/>
      <w:sz w:val="21"/>
      <w:szCs w:val="21"/>
    </w:rPr>
  </w:style>
  <w:style w:type="character" w:customStyle="1" w:styleId="sidecatalog-index1">
    <w:name w:val="sidecatalog-index1"/>
    <w:uiPriority w:val="99"/>
    <w:qFormat/>
    <w:rPr>
      <w:rFonts w:ascii="Arial" w:hAnsi="Arial" w:cs="Arial"/>
      <w:b/>
      <w:bCs/>
      <w:color w:val="auto"/>
      <w:sz w:val="21"/>
      <w:szCs w:val="21"/>
    </w:rPr>
  </w:style>
  <w:style w:type="character" w:customStyle="1" w:styleId="plus">
    <w:name w:val="plus"/>
    <w:uiPriority w:val="99"/>
    <w:qFormat/>
    <w:rPr>
      <w:b/>
      <w:bCs/>
      <w:vanish/>
      <w:color w:val="auto"/>
      <w:sz w:val="24"/>
      <w:szCs w:val="24"/>
    </w:rPr>
  </w:style>
  <w:style w:type="character" w:customStyle="1" w:styleId="desc">
    <w:name w:val="desc"/>
    <w:uiPriority w:val="99"/>
    <w:qFormat/>
    <w:rPr>
      <w:color w:val="000000"/>
      <w:sz w:val="18"/>
      <w:szCs w:val="18"/>
    </w:rPr>
  </w:style>
  <w:style w:type="character" w:customStyle="1" w:styleId="bdsmore6">
    <w:name w:val="bds_more6"/>
    <w:basedOn w:val="a0"/>
    <w:uiPriority w:val="99"/>
    <w:qFormat/>
  </w:style>
  <w:style w:type="character" w:customStyle="1" w:styleId="bdsmore7">
    <w:name w:val="bds_more7"/>
    <w:uiPriority w:val="99"/>
    <w:qFormat/>
    <w:rPr>
      <w:rFonts w:ascii="宋体" w:eastAsia="宋体" w:hAnsi="宋体" w:cs="宋体"/>
    </w:rPr>
  </w:style>
  <w:style w:type="character" w:customStyle="1" w:styleId="bdsmore8">
    <w:name w:val="bds_more8"/>
    <w:basedOn w:val="a0"/>
    <w:uiPriority w:val="99"/>
    <w:qFormat/>
  </w:style>
  <w:style w:type="character" w:customStyle="1" w:styleId="bdsmore9">
    <w:name w:val="bds_more9"/>
    <w:uiPriority w:val="99"/>
    <w:qFormat/>
    <w:rPr>
      <w:rFonts w:ascii="?? ! important" w:hAnsi="?? ! important" w:cs="?? ! important"/>
      <w:color w:val="auto"/>
      <w:sz w:val="21"/>
      <w:szCs w:val="21"/>
    </w:rPr>
  </w:style>
  <w:style w:type="character" w:customStyle="1" w:styleId="bdsmore10">
    <w:name w:val="bds_more10"/>
    <w:uiPriority w:val="99"/>
    <w:qFormat/>
    <w:rPr>
      <w:rFonts w:ascii="?? ! important" w:hAnsi="?? ! important" w:cs="?? ! important"/>
      <w:color w:val="auto"/>
      <w:sz w:val="18"/>
      <w:szCs w:val="18"/>
    </w:rPr>
  </w:style>
  <w:style w:type="character" w:customStyle="1" w:styleId="polysemyred">
    <w:name w:val="polysemyred"/>
    <w:uiPriority w:val="99"/>
    <w:qFormat/>
    <w:rPr>
      <w:color w:val="auto"/>
      <w:sz w:val="18"/>
      <w:szCs w:val="18"/>
    </w:rPr>
  </w:style>
  <w:style w:type="character" w:customStyle="1" w:styleId="sidecatalog-dot">
    <w:name w:val="sidecatalog-dot"/>
    <w:basedOn w:val="a0"/>
    <w:uiPriority w:val="99"/>
    <w:qFormat/>
  </w:style>
  <w:style w:type="character" w:customStyle="1" w:styleId="sidecatalog-dot1">
    <w:name w:val="sidecatalog-dot1"/>
    <w:basedOn w:val="a0"/>
    <w:uiPriority w:val="99"/>
    <w:qFormat/>
  </w:style>
  <w:style w:type="character" w:customStyle="1" w:styleId="morelink-item">
    <w:name w:val="morelink-item"/>
    <w:basedOn w:val="a0"/>
    <w:uiPriority w:val="99"/>
    <w:qFormat/>
  </w:style>
  <w:style w:type="character" w:customStyle="1" w:styleId="polysemyexp">
    <w:name w:val="polysemyexp"/>
    <w:uiPriority w:val="99"/>
    <w:qFormat/>
    <w:rPr>
      <w:color w:val="auto"/>
      <w:sz w:val="18"/>
      <w:szCs w:val="18"/>
    </w:rPr>
  </w:style>
  <w:style w:type="character" w:customStyle="1" w:styleId="sort">
    <w:name w:val="sort"/>
    <w:uiPriority w:val="99"/>
    <w:qFormat/>
    <w:rPr>
      <w:color w:val="FFFFFF"/>
      <w:bdr w:val="single" w:sz="24" w:space="0" w:color="auto"/>
    </w:rPr>
  </w:style>
  <w:style w:type="character" w:customStyle="1" w:styleId="sort1">
    <w:name w:val="sort1"/>
    <w:basedOn w:val="a0"/>
    <w:uiPriority w:val="99"/>
    <w:qFormat/>
  </w:style>
  <w:style w:type="character" w:customStyle="1" w:styleId="lemmatitleh12">
    <w:name w:val="lemmatitleh12"/>
    <w:basedOn w:val="a0"/>
    <w:uiPriority w:val="99"/>
    <w:qFormat/>
  </w:style>
  <w:style w:type="character" w:customStyle="1" w:styleId="bdsnopic">
    <w:name w:val="bds_nopic"/>
    <w:basedOn w:val="a0"/>
    <w:uiPriority w:val="99"/>
    <w:qFormat/>
  </w:style>
  <w:style w:type="character" w:customStyle="1" w:styleId="bdsnopic1">
    <w:name w:val="bds_nopic1"/>
    <w:basedOn w:val="a0"/>
    <w:uiPriority w:val="99"/>
    <w:qFormat/>
  </w:style>
  <w:style w:type="character" w:customStyle="1" w:styleId="bdsnopic2">
    <w:name w:val="bds_nopic2"/>
    <w:basedOn w:val="a0"/>
    <w:uiPriority w:val="99"/>
    <w:qFormat/>
  </w:style>
  <w:style w:type="character" w:customStyle="1" w:styleId="desc12">
    <w:name w:val="desc12"/>
    <w:uiPriority w:val="99"/>
    <w:qFormat/>
    <w:rPr>
      <w:color w:val="000000"/>
      <w:sz w:val="18"/>
      <w:szCs w:val="18"/>
    </w:rPr>
  </w:style>
  <w:style w:type="character" w:customStyle="1" w:styleId="bdsmore">
    <w:name w:val="bds_more"/>
    <w:basedOn w:val="a0"/>
    <w:uiPriority w:val="99"/>
    <w:qFormat/>
  </w:style>
  <w:style w:type="character" w:customStyle="1" w:styleId="bdsmore1">
    <w:name w:val="bds_more1"/>
    <w:basedOn w:val="a0"/>
    <w:uiPriority w:val="99"/>
    <w:qFormat/>
  </w:style>
  <w:style w:type="character" w:customStyle="1" w:styleId="bdsmore2">
    <w:name w:val="bds_more2"/>
    <w:uiPriority w:val="99"/>
    <w:qFormat/>
    <w:rPr>
      <w:rFonts w:ascii="宋体" w:eastAsia="宋体" w:hAnsi="宋体" w:cs="宋体"/>
    </w:rPr>
  </w:style>
  <w:style w:type="character" w:customStyle="1" w:styleId="bdsmore3">
    <w:name w:val="bds_more3"/>
    <w:basedOn w:val="a0"/>
    <w:uiPriority w:val="99"/>
    <w:qFormat/>
  </w:style>
  <w:style w:type="character" w:customStyle="1" w:styleId="bdsmore4">
    <w:name w:val="bds_more4"/>
    <w:basedOn w:val="a0"/>
    <w:uiPriority w:val="99"/>
    <w:qFormat/>
  </w:style>
  <w:style w:type="character" w:customStyle="1" w:styleId="lemmatitleh1">
    <w:name w:val="lemmatitleh1"/>
    <w:basedOn w:val="a0"/>
    <w:uiPriority w:val="99"/>
    <w:qFormat/>
  </w:style>
  <w:style w:type="character" w:customStyle="1" w:styleId="sidecatalog-dot4">
    <w:name w:val="sidecatalog-dot4"/>
    <w:basedOn w:val="a0"/>
    <w:uiPriority w:val="99"/>
    <w:qFormat/>
  </w:style>
  <w:style w:type="character" w:customStyle="1" w:styleId="sidecatalog-dot5">
    <w:name w:val="sidecatalog-dot5"/>
    <w:basedOn w:val="a0"/>
    <w:uiPriority w:val="99"/>
    <w:qFormat/>
  </w:style>
  <w:style w:type="character" w:customStyle="1" w:styleId="bdsmore5">
    <w:name w:val="bds_more5"/>
    <w:basedOn w:val="a0"/>
    <w:uiPriority w:val="99"/>
    <w:qFormat/>
  </w:style>
  <w:style w:type="character" w:customStyle="1" w:styleId="headline-content5">
    <w:name w:val="headline-content5"/>
    <w:uiPriority w:val="99"/>
    <w:qFormat/>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3927091.htm" TargetMode="External"/><Relationship Id="rId5" Type="http://schemas.openxmlformats.org/officeDocument/2006/relationships/settings" Target="settings.xml"/><Relationship Id="rId10" Type="http://schemas.openxmlformats.org/officeDocument/2006/relationships/hyperlink" Target="http://baike.baidu.com/view/34297.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4420</Words>
  <Characters>25199</Characters>
  <Application>Microsoft Office Word</Application>
  <DocSecurity>0</DocSecurity>
  <Lines>209</Lines>
  <Paragraphs>59</Paragraphs>
  <ScaleCrop>false</ScaleCrop>
  <Company>HASEE</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丽水市健康产业发展规划</dc:title>
  <dc:creator>WCQ</dc:creator>
  <cp:lastModifiedBy>CN=manager/O=lsjw</cp:lastModifiedBy>
  <cp:revision>2</cp:revision>
  <dcterms:created xsi:type="dcterms:W3CDTF">2015-12-29T02:28:00Z</dcterms:created>
  <dcterms:modified xsi:type="dcterms:W3CDTF">2015-12-29T02:28:00Z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